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9"/>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3A9E3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5E4D54D">
            <w:pPr>
              <w:pStyle w:val="19"/>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20937FE4">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lang w:eastAsia="zh-CN"/>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p>
          <w:p w14:paraId="26D7A9EA">
            <w:pPr>
              <w:pStyle w:val="19"/>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end"/>
            </w:r>
            <w:bookmarkEnd w:id="0"/>
          </w:p>
        </w:tc>
      </w:tr>
      <w:tr w14:paraId="2CC4D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63FD2570">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9"/>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5D1DA70A">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01921AE0">
                  <w:pPr>
                    <w:pStyle w:val="51"/>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t>     </w:t>
                  </w:r>
                  <w:r>
                    <w:fldChar w:fldCharType="end"/>
                  </w:r>
                  <w:bookmarkEnd w:id="1"/>
                </w:p>
              </w:tc>
            </w:tr>
          </w:tbl>
          <w:p w14:paraId="559E1628">
            <w:pPr>
              <w:pStyle w:val="19"/>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点击此处添加CCS号</w:t>
            </w:r>
            <w:r>
              <w:rPr>
                <w:rFonts w:ascii="黑体" w:hAnsi="黑体" w:eastAsia="黑体"/>
                <w:sz w:val="21"/>
                <w:szCs w:val="21"/>
              </w:rPr>
              <w:fldChar w:fldCharType="end"/>
            </w:r>
            <w:bookmarkEnd w:id="2"/>
          </w:p>
        </w:tc>
      </w:tr>
    </w:tbl>
    <w:p w14:paraId="161BCF4A">
      <w:pPr>
        <w:pStyle w:val="52"/>
        <w:framePr w:w="9639" w:h="624" w:hRule="exact" w:hSpace="181" w:vSpace="181" w:wrap="around" w:hAnchor="page" w:x="1305" w:y="2269"/>
        <w:rPr>
          <w:rFonts w:hint="eastAsia" w:ascii="黑体" w:hAnsi="黑体" w:eastAsia="黑体"/>
          <w:b w:val="0"/>
          <w:bCs w:val="0"/>
          <w:w w:val="100"/>
          <w:sz w:val="48"/>
          <w:szCs w:val="48"/>
        </w:rPr>
      </w:pPr>
      <w:bookmarkStart w:id="3" w:name="_Hlk26473981"/>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ascii="黑体" w:eastAsia="黑体"/>
          <w:b w:val="0"/>
          <w:w w:val="100"/>
          <w:sz w:val="48"/>
        </w:rPr>
        <w:t>     </w:t>
      </w:r>
      <w:r>
        <w:rPr>
          <w:rFonts w:ascii="黑体" w:eastAsia="黑体"/>
          <w:b w:val="0"/>
          <w:w w:val="100"/>
          <w:sz w:val="48"/>
        </w:rPr>
        <w:fldChar w:fldCharType="end"/>
      </w:r>
      <w:bookmarkEnd w:id="4"/>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43EC1316">
      <w:pPr>
        <w:pStyle w:val="197"/>
      </w:pPr>
      <w:r>
        <w:t>T/</w:t>
      </w:r>
      <w:bookmarkStart w:id="5" w:name="文字1"/>
      <w:r>
        <w:rPr>
          <w:rFonts w:ascii="黑体" w:hAnsi="Times New Roman" w:eastAsia="黑体" w:cs="Times New Roman"/>
          <w:bCs/>
          <w:sz w:val="28"/>
          <w:szCs w:val="28"/>
          <w:lang w:val="en-US" w:eastAsia="zh-CN" w:bidi="ar-SA"/>
        </w:rPr>
        <w:fldChar w:fldCharType="begin">
          <w:ffData>
            <w:name w:val="文字1"/>
            <w:enabled/>
            <w:calcOnExit w:val="0"/>
            <w:textInput>
              <w:default w:val="CPQS"/>
            </w:textInput>
          </w:ffData>
        </w:fldChar>
      </w:r>
      <w:r>
        <w:rPr>
          <w:rFonts w:ascii="黑体" w:hAnsi="Times New Roman" w:eastAsia="黑体" w:cs="Times New Roman"/>
          <w:bCs/>
          <w:sz w:val="28"/>
          <w:szCs w:val="28"/>
          <w:lang w:val="en-US" w:eastAsia="zh-CN" w:bidi="ar-SA"/>
        </w:rPr>
        <w:instrText xml:space="preserve">FORMTEXT</w:instrText>
      </w:r>
      <w:r>
        <w:rPr>
          <w:rFonts w:ascii="黑体" w:hAnsi="Times New Roman" w:eastAsia="黑体" w:cs="Times New Roman"/>
          <w:bCs/>
          <w:sz w:val="28"/>
          <w:szCs w:val="28"/>
          <w:lang w:val="en-US" w:eastAsia="zh-CN" w:bidi="ar-SA"/>
        </w:rPr>
        <w:fldChar w:fldCharType="separate"/>
      </w:r>
      <w:r>
        <w:rPr>
          <w:rFonts w:ascii="黑体" w:hAnsi="Times New Roman" w:eastAsia="黑体" w:cs="Times New Roman"/>
          <w:bCs/>
          <w:sz w:val="28"/>
          <w:szCs w:val="28"/>
          <w:lang w:val="en-US" w:eastAsia="zh-CN" w:bidi="ar-SA"/>
        </w:rPr>
        <w:t>CPQS</w:t>
      </w:r>
      <w:r>
        <w:rPr>
          <w:rFonts w:ascii="黑体" w:hAnsi="Times New Roman" w:eastAsia="黑体" w:cs="Times New Roman"/>
          <w:bCs/>
          <w:sz w:val="28"/>
          <w:szCs w:val="28"/>
          <w:lang w:val="en-US" w:eastAsia="zh-CN" w:bidi="ar-SA"/>
        </w:rP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52A51E97">
      <w:pPr>
        <w:pStyle w:val="198"/>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23935A67">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66FFE932">
      <w:pPr>
        <w:pStyle w:val="52"/>
        <w:framePr w:w="9639" w:h="6976" w:hRule="exact" w:hSpace="0" w:vSpace="0" w:wrap="around" w:hAnchor="page" w:y="6408"/>
        <w:jc w:val="center"/>
        <w:rPr>
          <w:rFonts w:hint="eastAsia" w:ascii="黑体" w:hAnsi="黑体" w:eastAsia="黑体"/>
          <w:b w:val="0"/>
          <w:bCs w:val="0"/>
          <w:w w:val="100"/>
        </w:rPr>
      </w:pPr>
    </w:p>
    <w:p w14:paraId="02A223D2">
      <w:pPr>
        <w:pStyle w:val="199"/>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lang w:eastAsia="zh-CN"/>
        </w:rPr>
        <w:t>塑料积木玩具 说明书编制指引</w:t>
      </w:r>
      <w:r>
        <w:fldChar w:fldCharType="end"/>
      </w:r>
      <w:bookmarkEnd w:id="9"/>
    </w:p>
    <w:p w14:paraId="2144DE0C">
      <w:pPr>
        <w:framePr w:w="9639" w:h="6974" w:hRule="exact" w:wrap="around" w:vAnchor="page" w:hAnchor="page" w:x="1419" w:y="6408" w:anchorLock="1"/>
        <w:ind w:left="-1418"/>
      </w:pPr>
    </w:p>
    <w:p w14:paraId="6A073306">
      <w:pPr>
        <w:pStyle w:val="127"/>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hint="eastAsia" w:eastAsia="黑体"/>
          <w:szCs w:val="28"/>
        </w:rPr>
        <w:t>点击此处添加标准名称的英文译名</w:t>
      </w:r>
      <w:r>
        <w:rPr>
          <w:rFonts w:eastAsia="黑体"/>
          <w:szCs w:val="28"/>
        </w:rPr>
        <w:fldChar w:fldCharType="end"/>
      </w:r>
      <w:bookmarkEnd w:id="10"/>
    </w:p>
    <w:p w14:paraId="313D54A8">
      <w:pPr>
        <w:framePr w:w="9639" w:h="6974" w:hRule="exact" w:wrap="around" w:vAnchor="page" w:hAnchor="page" w:x="1419" w:y="6408" w:anchorLock="1"/>
        <w:spacing w:line="760" w:lineRule="exact"/>
        <w:ind w:left="-1418"/>
      </w:pPr>
    </w:p>
    <w:p w14:paraId="18E584F4">
      <w:pPr>
        <w:pStyle w:val="127"/>
        <w:framePr w:w="9639" w:h="6974" w:hRule="exact" w:wrap="around" w:vAnchor="page" w:hAnchor="page" w:x="1419" w:y="6408" w:anchorLock="1"/>
        <w:textAlignment w:val="bottom"/>
        <w:rPr>
          <w:rFonts w:eastAsia="黑体"/>
          <w:szCs w:val="28"/>
        </w:rPr>
      </w:pPr>
    </w:p>
    <w:p w14:paraId="382A48E7">
      <w:pPr>
        <w:pStyle w:val="127"/>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1"/>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493B8B9A">
      <w:pPr>
        <w:pStyle w:val="127"/>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0C6769F1">
      <w:pPr>
        <w:pStyle w:val="127"/>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7657F19A">
      <w:pPr>
        <w:pStyle w:val="195"/>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26DCA3D9">
      <w:pPr>
        <w:pStyle w:val="196"/>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79867BE4">
      <w:pPr>
        <w:pStyle w:val="153"/>
        <w:framePr w:h="584" w:hRule="exact" w:hSpace="181" w:vSpace="181" w:wrap="around" w:y="14800"/>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31"/>
          <w:rFonts w:hint="eastAsia" w:hAnsi="黑体"/>
          <w:position w:val="0"/>
        </w:rPr>
        <w:t>发</w:t>
      </w:r>
      <w:r>
        <w:rPr>
          <w:rStyle w:val="231"/>
          <w:rFonts w:hint="eastAsia" w:hAnsi="黑体"/>
          <w:spacing w:val="0"/>
          <w:position w:val="0"/>
        </w:rPr>
        <w:t>布</w:t>
      </w:r>
    </w:p>
    <w:p w14:paraId="374BE5A5">
      <w:pPr>
        <w:rPr>
          <w:rFonts w:hint="eastAsia" w:ascii="宋体" w:hAnsi="宋体"/>
          <w:sz w:val="28"/>
          <w:szCs w:val="28"/>
        </w:rPr>
        <w:sectPr>
          <w:headerReference r:id="rId6" w:type="first"/>
          <w:footerReference r:id="rId8" w:type="first"/>
          <w:headerReference r:id="rId5" w:type="default"/>
          <w:footerReference r:id="rId7"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334EC07C">
      <w:pPr>
        <w:pStyle w:val="93"/>
        <w:bidi w:val="0"/>
        <w:rPr>
          <w:rFonts w:hint="eastAsia"/>
          <w:lang w:eastAsia="zh-CN"/>
        </w:rPr>
      </w:pPr>
      <w:bookmarkStart w:id="21" w:name="BookMark1"/>
      <w:bookmarkStart w:id="22" w:name="_Toc5284"/>
      <w:bookmarkStart w:id="23" w:name="_Toc30870"/>
      <w:r>
        <w:rPr>
          <w:rFonts w:hint="eastAsia"/>
          <w:spacing w:val="320"/>
          <w:lang w:eastAsia="zh-CN"/>
        </w:rPr>
        <w:t>目</w:t>
      </w:r>
      <w:r>
        <w:rPr>
          <w:rFonts w:hint="eastAsia"/>
          <w:lang w:eastAsia="zh-CN"/>
        </w:rPr>
        <w:t>次</w:t>
      </w:r>
    </w:p>
    <w:p w14:paraId="2F934506">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TOC \o "1-1" \t "标准文件_一级条标题,2,标准文件_附录一级条标题,2," \h</w:instrText>
      </w:r>
      <w:r>
        <w:rPr>
          <w:rFonts w:hint="eastAsia"/>
          <w:spacing w:val="0"/>
          <w:lang w:eastAsia="zh-CN"/>
        </w:rPr>
        <w:fldChar w:fldCharType="separate"/>
      </w:r>
      <w:r>
        <w:rPr>
          <w:rFonts w:hint="eastAsia"/>
          <w:spacing w:val="0"/>
          <w:lang w:eastAsia="zh-CN"/>
        </w:rPr>
        <w:fldChar w:fldCharType="begin"/>
      </w:r>
      <w:r>
        <w:rPr>
          <w:rFonts w:hint="eastAsia"/>
          <w:spacing w:val="0"/>
          <w:lang w:eastAsia="zh-CN"/>
        </w:rPr>
        <w:instrText xml:space="preserve"> HYPERLINK \l _Toc3331 </w:instrText>
      </w:r>
      <w:r>
        <w:rPr>
          <w:rFonts w:hint="eastAsia"/>
          <w:spacing w:val="0"/>
          <w:lang w:eastAsia="zh-CN"/>
        </w:rPr>
        <w:fldChar w:fldCharType="separate"/>
      </w:r>
      <w:r>
        <w:rPr>
          <w:rFonts w:hint="eastAsia"/>
          <w:spacing w:val="0"/>
          <w:lang w:eastAsia="zh-CN"/>
        </w:rPr>
        <w:t>前言</w:t>
      </w:r>
      <w:r>
        <w:rPr>
          <w:spacing w:val="0"/>
        </w:rPr>
        <w:tab/>
      </w:r>
      <w:r>
        <w:rPr>
          <w:spacing w:val="0"/>
        </w:rPr>
        <w:fldChar w:fldCharType="begin"/>
      </w:r>
      <w:r>
        <w:rPr>
          <w:spacing w:val="0"/>
        </w:rPr>
        <w:instrText xml:space="preserve"> PAGEREF _Toc3331 \h </w:instrText>
      </w:r>
      <w:r>
        <w:rPr>
          <w:spacing w:val="0"/>
        </w:rPr>
        <w:fldChar w:fldCharType="separate"/>
      </w:r>
      <w:r>
        <w:rPr>
          <w:spacing w:val="0"/>
        </w:rPr>
        <w:t>II</w:t>
      </w:r>
      <w:r>
        <w:rPr>
          <w:spacing w:val="0"/>
        </w:rPr>
        <w:fldChar w:fldCharType="end"/>
      </w:r>
      <w:r>
        <w:rPr>
          <w:rFonts w:hint="eastAsia"/>
          <w:spacing w:val="0"/>
          <w:lang w:eastAsia="zh-CN"/>
        </w:rPr>
        <w:fldChar w:fldCharType="end"/>
      </w:r>
    </w:p>
    <w:p w14:paraId="70ED437F">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_Toc7647 </w:instrText>
      </w:r>
      <w:r>
        <w:rPr>
          <w:rFonts w:hint="eastAsia"/>
          <w:spacing w:val="0"/>
          <w:lang w:eastAsia="zh-CN"/>
        </w:rPr>
        <w:fldChar w:fldCharType="separate"/>
      </w:r>
      <w:r>
        <w:rPr>
          <w:rFonts w:hint="eastAsia" w:ascii="黑体" w:eastAsia="黑体"/>
          <w:i w:val="0"/>
          <w:spacing w:val="0"/>
        </w:rPr>
        <w:t>1</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rPr>
        <w:t>范围</w:t>
      </w:r>
      <w:r>
        <w:rPr>
          <w:spacing w:val="0"/>
        </w:rPr>
        <w:tab/>
      </w:r>
      <w:r>
        <w:rPr>
          <w:spacing w:val="0"/>
        </w:rPr>
        <w:fldChar w:fldCharType="begin"/>
      </w:r>
      <w:r>
        <w:rPr>
          <w:spacing w:val="0"/>
        </w:rPr>
        <w:instrText xml:space="preserve"> PAGEREF _Toc7647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2D947D19">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_Toc7043 </w:instrText>
      </w:r>
      <w:r>
        <w:rPr>
          <w:rFonts w:hint="eastAsia"/>
          <w:spacing w:val="0"/>
          <w:lang w:eastAsia="zh-CN"/>
        </w:rPr>
        <w:fldChar w:fldCharType="separate"/>
      </w:r>
      <w:r>
        <w:rPr>
          <w:rFonts w:hint="eastAsia" w:ascii="黑体" w:eastAsia="黑体"/>
          <w:i w:val="0"/>
          <w:spacing w:val="0"/>
        </w:rPr>
        <w:t>2</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rPr>
        <w:t>规范性引用文件</w:t>
      </w:r>
      <w:r>
        <w:rPr>
          <w:spacing w:val="0"/>
        </w:rPr>
        <w:tab/>
      </w:r>
      <w:r>
        <w:rPr>
          <w:spacing w:val="0"/>
        </w:rPr>
        <w:fldChar w:fldCharType="begin"/>
      </w:r>
      <w:r>
        <w:rPr>
          <w:spacing w:val="0"/>
        </w:rPr>
        <w:instrText xml:space="preserve"> PAGEREF _Toc7043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618C2251">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_Toc10461 </w:instrText>
      </w:r>
      <w:r>
        <w:rPr>
          <w:rFonts w:hint="eastAsia"/>
          <w:spacing w:val="0"/>
          <w:lang w:eastAsia="zh-CN"/>
        </w:rPr>
        <w:fldChar w:fldCharType="separate"/>
      </w:r>
      <w:r>
        <w:rPr>
          <w:rFonts w:hint="eastAsia" w:ascii="黑体" w:eastAsia="黑体"/>
          <w:i w:val="0"/>
          <w:spacing w:val="0"/>
        </w:rPr>
        <w:t>3</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szCs w:val="21"/>
        </w:rPr>
        <w:t>术语和定义</w:t>
      </w:r>
      <w:r>
        <w:rPr>
          <w:spacing w:val="0"/>
        </w:rPr>
        <w:tab/>
      </w:r>
      <w:r>
        <w:rPr>
          <w:spacing w:val="0"/>
        </w:rPr>
        <w:fldChar w:fldCharType="begin"/>
      </w:r>
      <w:r>
        <w:rPr>
          <w:spacing w:val="0"/>
        </w:rPr>
        <w:instrText xml:space="preserve"> PAGEREF _Toc10461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2AD9BFC4">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_Toc26929 </w:instrText>
      </w:r>
      <w:r>
        <w:rPr>
          <w:rFonts w:hint="eastAsia"/>
          <w:spacing w:val="0"/>
          <w:lang w:eastAsia="zh-CN"/>
        </w:rPr>
        <w:fldChar w:fldCharType="separate"/>
      </w:r>
      <w:r>
        <w:rPr>
          <w:rFonts w:hint="eastAsia" w:ascii="黑体" w:eastAsia="黑体"/>
          <w:i w:val="0"/>
          <w:spacing w:val="0"/>
        </w:rPr>
        <w:t>4</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lang w:val="en-US" w:eastAsia="zh-CN"/>
        </w:rPr>
        <w:t>基本原则</w:t>
      </w:r>
      <w:r>
        <w:rPr>
          <w:spacing w:val="0"/>
        </w:rPr>
        <w:tab/>
      </w:r>
      <w:r>
        <w:rPr>
          <w:spacing w:val="0"/>
        </w:rPr>
        <w:fldChar w:fldCharType="begin"/>
      </w:r>
      <w:r>
        <w:rPr>
          <w:spacing w:val="0"/>
        </w:rPr>
        <w:instrText xml:space="preserve"> PAGEREF _Toc26929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2CABA9C0">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_Toc15746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4.1  </w:t>
      </w:r>
      <w:r>
        <w:rPr>
          <w:rFonts w:hint="eastAsia"/>
          <w:spacing w:val="0"/>
          <w:lang w:val="en-US" w:eastAsia="zh-CN"/>
        </w:rPr>
        <w:t>图形优先</w:t>
      </w:r>
      <w:r>
        <w:rPr>
          <w:spacing w:val="0"/>
        </w:rPr>
        <w:tab/>
      </w:r>
      <w:r>
        <w:rPr>
          <w:spacing w:val="0"/>
        </w:rPr>
        <w:fldChar w:fldCharType="begin"/>
      </w:r>
      <w:r>
        <w:rPr>
          <w:spacing w:val="0"/>
        </w:rPr>
        <w:instrText xml:space="preserve"> PAGEREF _Toc15746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65888286">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_Toc21847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4.2  </w:t>
      </w:r>
      <w:r>
        <w:rPr>
          <w:rFonts w:hint="eastAsia"/>
          <w:spacing w:val="0"/>
          <w:lang w:val="en-US" w:eastAsia="zh-CN"/>
        </w:rPr>
        <w:t>逻辑有序</w:t>
      </w:r>
      <w:r>
        <w:rPr>
          <w:spacing w:val="0"/>
        </w:rPr>
        <w:tab/>
      </w:r>
      <w:r>
        <w:rPr>
          <w:spacing w:val="0"/>
        </w:rPr>
        <w:fldChar w:fldCharType="begin"/>
      </w:r>
      <w:r>
        <w:rPr>
          <w:spacing w:val="0"/>
        </w:rPr>
        <w:instrText xml:space="preserve"> PAGEREF _Toc21847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405BCD4B">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_Toc4463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4.3  </w:t>
      </w:r>
      <w:r>
        <w:rPr>
          <w:rFonts w:hint="eastAsia"/>
          <w:spacing w:val="0"/>
          <w:lang w:val="en-US" w:eastAsia="zh-CN"/>
        </w:rPr>
        <w:t>表达精准</w:t>
      </w:r>
      <w:r>
        <w:rPr>
          <w:spacing w:val="0"/>
        </w:rPr>
        <w:tab/>
      </w:r>
      <w:r>
        <w:rPr>
          <w:spacing w:val="0"/>
        </w:rPr>
        <w:fldChar w:fldCharType="begin"/>
      </w:r>
      <w:r>
        <w:rPr>
          <w:spacing w:val="0"/>
        </w:rPr>
        <w:instrText xml:space="preserve"> PAGEREF _Toc4463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232B2FB3">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_Toc19597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4.4  </w:t>
      </w:r>
      <w:r>
        <w:rPr>
          <w:rFonts w:hint="eastAsia"/>
          <w:spacing w:val="0"/>
          <w:lang w:val="en-US" w:eastAsia="zh-CN"/>
        </w:rPr>
        <w:t>版式统一</w:t>
      </w:r>
      <w:r>
        <w:rPr>
          <w:spacing w:val="0"/>
        </w:rPr>
        <w:tab/>
      </w:r>
      <w:r>
        <w:rPr>
          <w:spacing w:val="0"/>
        </w:rPr>
        <w:fldChar w:fldCharType="begin"/>
      </w:r>
      <w:r>
        <w:rPr>
          <w:spacing w:val="0"/>
        </w:rPr>
        <w:instrText xml:space="preserve"> PAGEREF _Toc19597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600C9200">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_Toc7795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4.5  </w:t>
      </w:r>
      <w:r>
        <w:rPr>
          <w:rFonts w:hint="eastAsia"/>
          <w:spacing w:val="0"/>
          <w:lang w:val="en-US" w:eastAsia="zh-CN"/>
        </w:rPr>
        <w:t>品牌融入</w:t>
      </w:r>
      <w:r>
        <w:rPr>
          <w:spacing w:val="0"/>
        </w:rPr>
        <w:tab/>
      </w:r>
      <w:r>
        <w:rPr>
          <w:spacing w:val="0"/>
        </w:rPr>
        <w:fldChar w:fldCharType="begin"/>
      </w:r>
      <w:r>
        <w:rPr>
          <w:spacing w:val="0"/>
        </w:rPr>
        <w:instrText xml:space="preserve"> PAGEREF _Toc7795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524B1B1E">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_Toc27314 </w:instrText>
      </w:r>
      <w:r>
        <w:rPr>
          <w:rFonts w:hint="eastAsia"/>
          <w:spacing w:val="0"/>
          <w:lang w:eastAsia="zh-CN"/>
        </w:rPr>
        <w:fldChar w:fldCharType="separate"/>
      </w:r>
      <w:r>
        <w:rPr>
          <w:rFonts w:hint="eastAsia" w:ascii="黑体" w:eastAsia="黑体"/>
          <w:i w:val="0"/>
          <w:spacing w:val="0"/>
        </w:rPr>
        <w:t>5</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rPr>
        <w:t>内容构成</w:t>
      </w:r>
      <w:r>
        <w:rPr>
          <w:spacing w:val="0"/>
        </w:rPr>
        <w:tab/>
      </w:r>
      <w:r>
        <w:rPr>
          <w:spacing w:val="0"/>
        </w:rPr>
        <w:fldChar w:fldCharType="begin"/>
      </w:r>
      <w:r>
        <w:rPr>
          <w:spacing w:val="0"/>
        </w:rPr>
        <w:instrText xml:space="preserve"> PAGEREF _Toc27314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3884A13F">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_Toc7438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5.1  </w:t>
      </w:r>
      <w:r>
        <w:rPr>
          <w:rFonts w:hint="eastAsia"/>
          <w:spacing w:val="0"/>
          <w:lang w:val="en-US" w:eastAsia="zh-CN"/>
        </w:rPr>
        <w:t>封面/封底</w:t>
      </w:r>
      <w:r>
        <w:rPr>
          <w:spacing w:val="0"/>
        </w:rPr>
        <w:tab/>
      </w:r>
      <w:r>
        <w:rPr>
          <w:spacing w:val="0"/>
        </w:rPr>
        <w:fldChar w:fldCharType="begin"/>
      </w:r>
      <w:r>
        <w:rPr>
          <w:spacing w:val="0"/>
        </w:rPr>
        <w:instrText xml:space="preserve"> PAGEREF _Toc7438 \h </w:instrText>
      </w:r>
      <w:r>
        <w:rPr>
          <w:spacing w:val="0"/>
        </w:rPr>
        <w:fldChar w:fldCharType="separate"/>
      </w:r>
      <w:r>
        <w:rPr>
          <w:spacing w:val="0"/>
        </w:rPr>
        <w:t>1</w:t>
      </w:r>
      <w:r>
        <w:rPr>
          <w:spacing w:val="0"/>
        </w:rPr>
        <w:fldChar w:fldCharType="end"/>
      </w:r>
      <w:r>
        <w:rPr>
          <w:rFonts w:hint="eastAsia"/>
          <w:spacing w:val="0"/>
          <w:lang w:eastAsia="zh-CN"/>
        </w:rPr>
        <w:fldChar w:fldCharType="end"/>
      </w:r>
    </w:p>
    <w:p w14:paraId="7ECFC98D">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_Toc27105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5.2  </w:t>
      </w:r>
      <w:r>
        <w:rPr>
          <w:rFonts w:hint="eastAsia"/>
          <w:spacing w:val="0"/>
          <w:lang w:val="en-US" w:eastAsia="zh-CN"/>
        </w:rPr>
        <w:t>概述指引</w:t>
      </w:r>
      <w:r>
        <w:rPr>
          <w:spacing w:val="0"/>
        </w:rPr>
        <w:tab/>
      </w:r>
      <w:r>
        <w:rPr>
          <w:spacing w:val="0"/>
        </w:rPr>
        <w:fldChar w:fldCharType="begin"/>
      </w:r>
      <w:r>
        <w:rPr>
          <w:spacing w:val="0"/>
        </w:rPr>
        <w:instrText xml:space="preserve"> PAGEREF _Toc27105 \h </w:instrText>
      </w:r>
      <w:r>
        <w:rPr>
          <w:spacing w:val="0"/>
        </w:rPr>
        <w:fldChar w:fldCharType="separate"/>
      </w:r>
      <w:r>
        <w:rPr>
          <w:spacing w:val="0"/>
        </w:rPr>
        <w:t>2</w:t>
      </w:r>
      <w:r>
        <w:rPr>
          <w:spacing w:val="0"/>
        </w:rPr>
        <w:fldChar w:fldCharType="end"/>
      </w:r>
      <w:r>
        <w:rPr>
          <w:rFonts w:hint="eastAsia"/>
          <w:spacing w:val="0"/>
          <w:lang w:eastAsia="zh-CN"/>
        </w:rPr>
        <w:fldChar w:fldCharType="end"/>
      </w:r>
    </w:p>
    <w:p w14:paraId="152AAF83">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_Toc7204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5.3  </w:t>
      </w:r>
      <w:r>
        <w:rPr>
          <w:rFonts w:hint="eastAsia"/>
          <w:spacing w:val="0"/>
          <w:lang w:val="en-US" w:eastAsia="zh-CN"/>
        </w:rPr>
        <w:t>拼装步骤</w:t>
      </w:r>
      <w:r>
        <w:rPr>
          <w:spacing w:val="0"/>
        </w:rPr>
        <w:tab/>
      </w:r>
      <w:r>
        <w:rPr>
          <w:spacing w:val="0"/>
        </w:rPr>
        <w:fldChar w:fldCharType="begin"/>
      </w:r>
      <w:r>
        <w:rPr>
          <w:spacing w:val="0"/>
        </w:rPr>
        <w:instrText xml:space="preserve"> PAGEREF _Toc7204 \h </w:instrText>
      </w:r>
      <w:r>
        <w:rPr>
          <w:spacing w:val="0"/>
        </w:rPr>
        <w:fldChar w:fldCharType="separate"/>
      </w:r>
      <w:r>
        <w:rPr>
          <w:spacing w:val="0"/>
        </w:rPr>
        <w:t>2</w:t>
      </w:r>
      <w:r>
        <w:rPr>
          <w:spacing w:val="0"/>
        </w:rPr>
        <w:fldChar w:fldCharType="end"/>
      </w:r>
      <w:r>
        <w:rPr>
          <w:rFonts w:hint="eastAsia"/>
          <w:spacing w:val="0"/>
          <w:lang w:eastAsia="zh-CN"/>
        </w:rPr>
        <w:fldChar w:fldCharType="end"/>
      </w:r>
    </w:p>
    <w:p w14:paraId="77E4E261">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_Toc11732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5.4  </w:t>
      </w:r>
      <w:r>
        <w:rPr>
          <w:rFonts w:hint="eastAsia"/>
          <w:spacing w:val="0"/>
          <w:lang w:val="en-US" w:eastAsia="zh-CN"/>
        </w:rPr>
        <w:t>积木清单及售后信息</w:t>
      </w:r>
      <w:r>
        <w:rPr>
          <w:spacing w:val="0"/>
        </w:rPr>
        <w:tab/>
      </w:r>
      <w:r>
        <w:rPr>
          <w:spacing w:val="0"/>
        </w:rPr>
        <w:fldChar w:fldCharType="begin"/>
      </w:r>
      <w:r>
        <w:rPr>
          <w:spacing w:val="0"/>
        </w:rPr>
        <w:instrText xml:space="preserve"> PAGEREF _Toc11732 \h </w:instrText>
      </w:r>
      <w:r>
        <w:rPr>
          <w:spacing w:val="0"/>
        </w:rPr>
        <w:fldChar w:fldCharType="separate"/>
      </w:r>
      <w:r>
        <w:rPr>
          <w:spacing w:val="0"/>
        </w:rPr>
        <w:t>2</w:t>
      </w:r>
      <w:r>
        <w:rPr>
          <w:spacing w:val="0"/>
        </w:rPr>
        <w:fldChar w:fldCharType="end"/>
      </w:r>
      <w:r>
        <w:rPr>
          <w:rFonts w:hint="eastAsia"/>
          <w:spacing w:val="0"/>
          <w:lang w:eastAsia="zh-CN"/>
        </w:rPr>
        <w:fldChar w:fldCharType="end"/>
      </w:r>
    </w:p>
    <w:p w14:paraId="2FC07A1B">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_Toc26440 </w:instrText>
      </w:r>
      <w:r>
        <w:rPr>
          <w:rFonts w:hint="eastAsia"/>
          <w:spacing w:val="0"/>
          <w:lang w:eastAsia="zh-CN"/>
        </w:rPr>
        <w:fldChar w:fldCharType="separate"/>
      </w:r>
      <w:r>
        <w:rPr>
          <w:rFonts w:hint="eastAsia" w:ascii="黑体" w:eastAsia="黑体"/>
          <w:i w:val="0"/>
          <w:spacing w:val="0"/>
          <w:lang w:val="en-US" w:eastAsia="zh-CN"/>
        </w:rPr>
        <w:t xml:space="preserve">6  </w:t>
      </w:r>
      <w:r>
        <w:rPr>
          <w:rFonts w:hint="eastAsia"/>
          <w:spacing w:val="0"/>
          <w:lang w:val="en-US" w:eastAsia="zh-CN"/>
        </w:rPr>
        <w:t>视觉元素</w:t>
      </w:r>
      <w:r>
        <w:rPr>
          <w:spacing w:val="0"/>
        </w:rPr>
        <w:tab/>
      </w:r>
      <w:r>
        <w:rPr>
          <w:spacing w:val="0"/>
        </w:rPr>
        <w:fldChar w:fldCharType="begin"/>
      </w:r>
      <w:r>
        <w:rPr>
          <w:spacing w:val="0"/>
        </w:rPr>
        <w:instrText xml:space="preserve"> PAGEREF _Toc26440 \h </w:instrText>
      </w:r>
      <w:r>
        <w:rPr>
          <w:spacing w:val="0"/>
        </w:rPr>
        <w:fldChar w:fldCharType="separate"/>
      </w:r>
      <w:r>
        <w:rPr>
          <w:spacing w:val="0"/>
        </w:rPr>
        <w:t>2</w:t>
      </w:r>
      <w:r>
        <w:rPr>
          <w:spacing w:val="0"/>
        </w:rPr>
        <w:fldChar w:fldCharType="end"/>
      </w:r>
      <w:r>
        <w:rPr>
          <w:rFonts w:hint="eastAsia"/>
          <w:spacing w:val="0"/>
          <w:lang w:eastAsia="zh-CN"/>
        </w:rPr>
        <w:fldChar w:fldCharType="end"/>
      </w:r>
    </w:p>
    <w:p w14:paraId="797153F6">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_Toc30609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6.1  </w:t>
      </w:r>
      <w:r>
        <w:rPr>
          <w:rFonts w:hint="eastAsia"/>
          <w:spacing w:val="0"/>
          <w:lang w:val="en-US" w:eastAsia="zh-CN"/>
        </w:rPr>
        <w:t>图形</w:t>
      </w:r>
      <w:r>
        <w:rPr>
          <w:spacing w:val="0"/>
        </w:rPr>
        <w:tab/>
      </w:r>
      <w:r>
        <w:rPr>
          <w:spacing w:val="0"/>
        </w:rPr>
        <w:fldChar w:fldCharType="begin"/>
      </w:r>
      <w:r>
        <w:rPr>
          <w:spacing w:val="0"/>
        </w:rPr>
        <w:instrText xml:space="preserve"> PAGEREF _Toc30609 \h </w:instrText>
      </w:r>
      <w:r>
        <w:rPr>
          <w:spacing w:val="0"/>
        </w:rPr>
        <w:fldChar w:fldCharType="separate"/>
      </w:r>
      <w:r>
        <w:rPr>
          <w:spacing w:val="0"/>
        </w:rPr>
        <w:t>2</w:t>
      </w:r>
      <w:r>
        <w:rPr>
          <w:spacing w:val="0"/>
        </w:rPr>
        <w:fldChar w:fldCharType="end"/>
      </w:r>
      <w:r>
        <w:rPr>
          <w:rFonts w:hint="eastAsia"/>
          <w:spacing w:val="0"/>
          <w:lang w:eastAsia="zh-CN"/>
        </w:rPr>
        <w:fldChar w:fldCharType="end"/>
      </w:r>
    </w:p>
    <w:p w14:paraId="6EEA63EA">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_Toc14395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6.2  </w:t>
      </w:r>
      <w:r>
        <w:rPr>
          <w:rFonts w:hint="eastAsia"/>
          <w:spacing w:val="0"/>
          <w:lang w:val="en-US" w:eastAsia="zh-CN"/>
        </w:rPr>
        <w:t>比例尺</w:t>
      </w:r>
      <w:r>
        <w:rPr>
          <w:spacing w:val="0"/>
        </w:rPr>
        <w:tab/>
      </w:r>
      <w:r>
        <w:rPr>
          <w:spacing w:val="0"/>
        </w:rPr>
        <w:fldChar w:fldCharType="begin"/>
      </w:r>
      <w:r>
        <w:rPr>
          <w:spacing w:val="0"/>
        </w:rPr>
        <w:instrText xml:space="preserve"> PAGEREF _Toc14395 \h </w:instrText>
      </w:r>
      <w:r>
        <w:rPr>
          <w:spacing w:val="0"/>
        </w:rPr>
        <w:fldChar w:fldCharType="separate"/>
      </w:r>
      <w:r>
        <w:rPr>
          <w:spacing w:val="0"/>
        </w:rPr>
        <w:t>3</w:t>
      </w:r>
      <w:r>
        <w:rPr>
          <w:spacing w:val="0"/>
        </w:rPr>
        <w:fldChar w:fldCharType="end"/>
      </w:r>
      <w:r>
        <w:rPr>
          <w:rFonts w:hint="eastAsia"/>
          <w:spacing w:val="0"/>
          <w:lang w:eastAsia="zh-CN"/>
        </w:rPr>
        <w:fldChar w:fldCharType="end"/>
      </w:r>
    </w:p>
    <w:p w14:paraId="3B484CF0">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_Toc27481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6.3  </w:t>
      </w:r>
      <w:r>
        <w:rPr>
          <w:rFonts w:hint="eastAsia"/>
          <w:spacing w:val="0"/>
          <w:lang w:val="en-US" w:eastAsia="zh-CN"/>
        </w:rPr>
        <w:t>安全与警示</w:t>
      </w:r>
      <w:r>
        <w:rPr>
          <w:spacing w:val="0"/>
        </w:rPr>
        <w:tab/>
      </w:r>
      <w:r>
        <w:rPr>
          <w:spacing w:val="0"/>
        </w:rPr>
        <w:fldChar w:fldCharType="begin"/>
      </w:r>
      <w:r>
        <w:rPr>
          <w:spacing w:val="0"/>
        </w:rPr>
        <w:instrText xml:space="preserve"> PAGEREF _Toc27481 \h </w:instrText>
      </w:r>
      <w:r>
        <w:rPr>
          <w:spacing w:val="0"/>
        </w:rPr>
        <w:fldChar w:fldCharType="separate"/>
      </w:r>
      <w:r>
        <w:rPr>
          <w:spacing w:val="0"/>
        </w:rPr>
        <w:t>3</w:t>
      </w:r>
      <w:r>
        <w:rPr>
          <w:spacing w:val="0"/>
        </w:rPr>
        <w:fldChar w:fldCharType="end"/>
      </w:r>
      <w:r>
        <w:rPr>
          <w:rFonts w:hint="eastAsia"/>
          <w:spacing w:val="0"/>
          <w:lang w:eastAsia="zh-CN"/>
        </w:rPr>
        <w:fldChar w:fldCharType="end"/>
      </w:r>
    </w:p>
    <w:p w14:paraId="78E3F63F">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_Toc21917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6.4</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lang w:val="en-US" w:eastAsia="zh-CN"/>
        </w:rPr>
        <w:t>组装点与指引线</w:t>
      </w:r>
      <w:r>
        <w:rPr>
          <w:spacing w:val="0"/>
        </w:rPr>
        <w:tab/>
      </w:r>
      <w:r>
        <w:rPr>
          <w:spacing w:val="0"/>
        </w:rPr>
        <w:fldChar w:fldCharType="begin"/>
      </w:r>
      <w:r>
        <w:rPr>
          <w:spacing w:val="0"/>
        </w:rPr>
        <w:instrText xml:space="preserve"> PAGEREF _Toc21917 \h </w:instrText>
      </w:r>
      <w:r>
        <w:rPr>
          <w:spacing w:val="0"/>
        </w:rPr>
        <w:fldChar w:fldCharType="separate"/>
      </w:r>
      <w:r>
        <w:rPr>
          <w:spacing w:val="0"/>
        </w:rPr>
        <w:t>3</w:t>
      </w:r>
      <w:r>
        <w:rPr>
          <w:spacing w:val="0"/>
        </w:rPr>
        <w:fldChar w:fldCharType="end"/>
      </w:r>
      <w:r>
        <w:rPr>
          <w:rFonts w:hint="eastAsia"/>
          <w:spacing w:val="0"/>
          <w:lang w:eastAsia="zh-CN"/>
        </w:rPr>
        <w:fldChar w:fldCharType="end"/>
      </w:r>
    </w:p>
    <w:p w14:paraId="4580DD88">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_Toc9004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6.5</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动作与方向符号</w:t>
      </w:r>
      <w:r>
        <w:rPr>
          <w:spacing w:val="0"/>
        </w:rPr>
        <w:tab/>
      </w:r>
      <w:r>
        <w:rPr>
          <w:spacing w:val="0"/>
        </w:rPr>
        <w:fldChar w:fldCharType="begin"/>
      </w:r>
      <w:r>
        <w:rPr>
          <w:spacing w:val="0"/>
        </w:rPr>
        <w:instrText xml:space="preserve"> PAGEREF _Toc9004 \h </w:instrText>
      </w:r>
      <w:r>
        <w:rPr>
          <w:spacing w:val="0"/>
        </w:rPr>
        <w:fldChar w:fldCharType="separate"/>
      </w:r>
      <w:r>
        <w:rPr>
          <w:spacing w:val="0"/>
        </w:rPr>
        <w:t>3</w:t>
      </w:r>
      <w:r>
        <w:rPr>
          <w:spacing w:val="0"/>
        </w:rPr>
        <w:fldChar w:fldCharType="end"/>
      </w:r>
      <w:r>
        <w:rPr>
          <w:rFonts w:hint="eastAsia"/>
          <w:spacing w:val="0"/>
          <w:lang w:eastAsia="zh-CN"/>
        </w:rPr>
        <w:fldChar w:fldCharType="end"/>
      </w:r>
    </w:p>
    <w:p w14:paraId="6BAE257A">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_Toc4059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6.6</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状态指示图标</w:t>
      </w:r>
      <w:r>
        <w:rPr>
          <w:spacing w:val="0"/>
        </w:rPr>
        <w:tab/>
      </w:r>
      <w:r>
        <w:rPr>
          <w:spacing w:val="0"/>
        </w:rPr>
        <w:fldChar w:fldCharType="begin"/>
      </w:r>
      <w:r>
        <w:rPr>
          <w:spacing w:val="0"/>
        </w:rPr>
        <w:instrText xml:space="preserve"> PAGEREF _Toc4059 \h </w:instrText>
      </w:r>
      <w:r>
        <w:rPr>
          <w:spacing w:val="0"/>
        </w:rPr>
        <w:fldChar w:fldCharType="separate"/>
      </w:r>
      <w:r>
        <w:rPr>
          <w:spacing w:val="0"/>
        </w:rPr>
        <w:t>4</w:t>
      </w:r>
      <w:r>
        <w:rPr>
          <w:spacing w:val="0"/>
        </w:rPr>
        <w:fldChar w:fldCharType="end"/>
      </w:r>
      <w:r>
        <w:rPr>
          <w:rFonts w:hint="eastAsia"/>
          <w:spacing w:val="0"/>
          <w:lang w:eastAsia="zh-CN"/>
        </w:rPr>
        <w:fldChar w:fldCharType="end"/>
      </w:r>
    </w:p>
    <w:p w14:paraId="011D4FC8">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_Toc6760 </w:instrText>
      </w:r>
      <w:r>
        <w:rPr>
          <w:rFonts w:hint="eastAsia"/>
          <w:spacing w:val="0"/>
          <w:lang w:eastAsia="zh-CN"/>
        </w:rPr>
        <w:fldChar w:fldCharType="separate"/>
      </w:r>
      <w:r>
        <w:rPr>
          <w:rFonts w:hint="eastAsia" w:ascii="黑体" w:eastAsia="黑体"/>
          <w:i w:val="0"/>
          <w:spacing w:val="0"/>
        </w:rPr>
        <w:t>7</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rPr>
        <w:t>拼装引导</w:t>
      </w:r>
      <w:r>
        <w:rPr>
          <w:spacing w:val="0"/>
        </w:rPr>
        <w:tab/>
      </w:r>
      <w:r>
        <w:rPr>
          <w:spacing w:val="0"/>
        </w:rPr>
        <w:fldChar w:fldCharType="begin"/>
      </w:r>
      <w:r>
        <w:rPr>
          <w:spacing w:val="0"/>
        </w:rPr>
        <w:instrText xml:space="preserve"> PAGEREF _Toc6760 \h </w:instrText>
      </w:r>
      <w:r>
        <w:rPr>
          <w:spacing w:val="0"/>
        </w:rPr>
        <w:fldChar w:fldCharType="separate"/>
      </w:r>
      <w:r>
        <w:rPr>
          <w:spacing w:val="0"/>
        </w:rPr>
        <w:t>4</w:t>
      </w:r>
      <w:r>
        <w:rPr>
          <w:spacing w:val="0"/>
        </w:rPr>
        <w:fldChar w:fldCharType="end"/>
      </w:r>
      <w:r>
        <w:rPr>
          <w:rFonts w:hint="eastAsia"/>
          <w:spacing w:val="0"/>
          <w:lang w:eastAsia="zh-CN"/>
        </w:rPr>
        <w:fldChar w:fldCharType="end"/>
      </w:r>
    </w:p>
    <w:p w14:paraId="25C3516E">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_Toc22243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7.1</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步骤逻辑</w:t>
      </w:r>
      <w:r>
        <w:rPr>
          <w:spacing w:val="0"/>
        </w:rPr>
        <w:tab/>
      </w:r>
      <w:r>
        <w:rPr>
          <w:spacing w:val="0"/>
        </w:rPr>
        <w:fldChar w:fldCharType="begin"/>
      </w:r>
      <w:r>
        <w:rPr>
          <w:spacing w:val="0"/>
        </w:rPr>
        <w:instrText xml:space="preserve"> PAGEREF _Toc22243 \h </w:instrText>
      </w:r>
      <w:r>
        <w:rPr>
          <w:spacing w:val="0"/>
        </w:rPr>
        <w:fldChar w:fldCharType="separate"/>
      </w:r>
      <w:r>
        <w:rPr>
          <w:spacing w:val="0"/>
        </w:rPr>
        <w:t>4</w:t>
      </w:r>
      <w:r>
        <w:rPr>
          <w:spacing w:val="0"/>
        </w:rPr>
        <w:fldChar w:fldCharType="end"/>
      </w:r>
      <w:r>
        <w:rPr>
          <w:rFonts w:hint="eastAsia"/>
          <w:spacing w:val="0"/>
          <w:lang w:eastAsia="zh-CN"/>
        </w:rPr>
        <w:fldChar w:fldCharType="end"/>
      </w:r>
    </w:p>
    <w:p w14:paraId="088E0E1C">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_Toc25409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7.2</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排版与分册</w:t>
      </w:r>
      <w:r>
        <w:rPr>
          <w:spacing w:val="0"/>
        </w:rPr>
        <w:tab/>
      </w:r>
      <w:r>
        <w:rPr>
          <w:spacing w:val="0"/>
        </w:rPr>
        <w:fldChar w:fldCharType="begin"/>
      </w:r>
      <w:r>
        <w:rPr>
          <w:spacing w:val="0"/>
        </w:rPr>
        <w:instrText xml:space="preserve"> PAGEREF _Toc25409 \h </w:instrText>
      </w:r>
      <w:r>
        <w:rPr>
          <w:spacing w:val="0"/>
        </w:rPr>
        <w:fldChar w:fldCharType="separate"/>
      </w:r>
      <w:r>
        <w:rPr>
          <w:spacing w:val="0"/>
        </w:rPr>
        <w:t>4</w:t>
      </w:r>
      <w:r>
        <w:rPr>
          <w:spacing w:val="0"/>
        </w:rPr>
        <w:fldChar w:fldCharType="end"/>
      </w:r>
      <w:r>
        <w:rPr>
          <w:rFonts w:hint="eastAsia"/>
          <w:spacing w:val="0"/>
          <w:lang w:eastAsia="zh-CN"/>
        </w:rPr>
        <w:fldChar w:fldCharType="end"/>
      </w:r>
    </w:p>
    <w:p w14:paraId="372AB70B">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_Toc13862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7.3</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零件分包指引</w:t>
      </w:r>
      <w:r>
        <w:rPr>
          <w:spacing w:val="0"/>
        </w:rPr>
        <w:tab/>
      </w:r>
      <w:r>
        <w:rPr>
          <w:spacing w:val="0"/>
        </w:rPr>
        <w:fldChar w:fldCharType="begin"/>
      </w:r>
      <w:r>
        <w:rPr>
          <w:spacing w:val="0"/>
        </w:rPr>
        <w:instrText xml:space="preserve"> PAGEREF _Toc13862 \h </w:instrText>
      </w:r>
      <w:r>
        <w:rPr>
          <w:spacing w:val="0"/>
        </w:rPr>
        <w:fldChar w:fldCharType="separate"/>
      </w:r>
      <w:r>
        <w:rPr>
          <w:spacing w:val="0"/>
        </w:rPr>
        <w:t>4</w:t>
      </w:r>
      <w:r>
        <w:rPr>
          <w:spacing w:val="0"/>
        </w:rPr>
        <w:fldChar w:fldCharType="end"/>
      </w:r>
      <w:r>
        <w:rPr>
          <w:rFonts w:hint="eastAsia"/>
          <w:spacing w:val="0"/>
          <w:lang w:eastAsia="zh-CN"/>
        </w:rPr>
        <w:fldChar w:fldCharType="end"/>
      </w:r>
    </w:p>
    <w:p w14:paraId="776EE06C">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_Toc23852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7.4</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封边与展示</w:t>
      </w:r>
      <w:r>
        <w:rPr>
          <w:spacing w:val="0"/>
        </w:rPr>
        <w:tab/>
      </w:r>
      <w:r>
        <w:rPr>
          <w:spacing w:val="0"/>
        </w:rPr>
        <w:fldChar w:fldCharType="begin"/>
      </w:r>
      <w:r>
        <w:rPr>
          <w:spacing w:val="0"/>
        </w:rPr>
        <w:instrText xml:space="preserve"> PAGEREF _Toc23852 \h </w:instrText>
      </w:r>
      <w:r>
        <w:rPr>
          <w:spacing w:val="0"/>
        </w:rPr>
        <w:fldChar w:fldCharType="separate"/>
      </w:r>
      <w:r>
        <w:rPr>
          <w:spacing w:val="0"/>
        </w:rPr>
        <w:t>5</w:t>
      </w:r>
      <w:r>
        <w:rPr>
          <w:spacing w:val="0"/>
        </w:rPr>
        <w:fldChar w:fldCharType="end"/>
      </w:r>
      <w:r>
        <w:rPr>
          <w:rFonts w:hint="eastAsia"/>
          <w:spacing w:val="0"/>
          <w:lang w:eastAsia="zh-CN"/>
        </w:rPr>
        <w:fldChar w:fldCharType="end"/>
      </w:r>
    </w:p>
    <w:p w14:paraId="53D1F7FE">
      <w:pPr>
        <w:pStyle w:val="25"/>
        <w:tabs>
          <w:tab w:val="right" w:leader="dot" w:pos="9354"/>
          <w:tab w:val="clear" w:pos="9344"/>
        </w:tabs>
        <w:rPr>
          <w:spacing w:val="0"/>
        </w:rPr>
      </w:pPr>
      <w:r>
        <w:rPr>
          <w:rFonts w:hint="eastAsia"/>
          <w:spacing w:val="0"/>
          <w:lang w:eastAsia="zh-CN"/>
        </w:rPr>
        <w:fldChar w:fldCharType="begin"/>
      </w:r>
      <w:r>
        <w:rPr>
          <w:rFonts w:hint="eastAsia"/>
          <w:spacing w:val="0"/>
          <w:lang w:eastAsia="zh-CN"/>
        </w:rPr>
        <w:instrText xml:space="preserve"> HYPERLINK \l _Toc12777 </w:instrText>
      </w:r>
      <w:r>
        <w:rPr>
          <w:rFonts w:hint="eastAsia"/>
          <w:spacing w:val="0"/>
          <w:lang w:eastAsia="zh-CN"/>
        </w:rPr>
        <w:fldChar w:fldCharType="separate"/>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7.5</w:t>
      </w:r>
      <w:r>
        <w:rPr>
          <w:rFonts w:hint="eastAsia" w:ascii="黑体" w:hAnsi="Times New Roman" w:eastAsia="黑体" w:cs="Times New Roman"/>
          <w:bCs w:val="0"/>
          <w:i w:val="0"/>
          <w:iCs w:val="0"/>
          <w:caps w:val="0"/>
          <w:smallCaps w:val="0"/>
          <w:strike w:val="0"/>
          <w:dstrike w:val="0"/>
          <w:vanish w:val="0"/>
          <w:spacing w:val="0"/>
          <w:kern w:val="0"/>
          <w:position w:val="0"/>
          <w:vertAlign w:val="baseline"/>
          <w:lang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ascii="黑体" w:hAnsi="Times New Roman" w:eastAsia="黑体" w:cs="Times New Roman"/>
          <w:bCs w:val="0"/>
          <w:i w:val="0"/>
          <w:iCs w:val="0"/>
          <w:caps w:val="0"/>
          <w:smallCaps w:val="0"/>
          <w:strike w:val="0"/>
          <w:dstrike w:val="0"/>
          <w:vanish w:val="0"/>
          <w:spacing w:val="0"/>
          <w:kern w:val="0"/>
          <w:position w:val="0"/>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 </w:t>
      </w:r>
      <w:r>
        <w:rPr>
          <w:rFonts w:hint="eastAsia"/>
          <w:spacing w:val="0"/>
        </w:rPr>
        <w:t>年龄段适配</w:t>
      </w:r>
      <w:r>
        <w:rPr>
          <w:spacing w:val="0"/>
        </w:rPr>
        <w:tab/>
      </w:r>
      <w:r>
        <w:rPr>
          <w:spacing w:val="0"/>
        </w:rPr>
        <w:fldChar w:fldCharType="begin"/>
      </w:r>
      <w:r>
        <w:rPr>
          <w:spacing w:val="0"/>
        </w:rPr>
        <w:instrText xml:space="preserve"> PAGEREF _Toc12777 \h </w:instrText>
      </w:r>
      <w:r>
        <w:rPr>
          <w:spacing w:val="0"/>
        </w:rPr>
        <w:fldChar w:fldCharType="separate"/>
      </w:r>
      <w:r>
        <w:rPr>
          <w:spacing w:val="0"/>
        </w:rPr>
        <w:t>5</w:t>
      </w:r>
      <w:r>
        <w:rPr>
          <w:spacing w:val="0"/>
        </w:rPr>
        <w:fldChar w:fldCharType="end"/>
      </w:r>
      <w:r>
        <w:rPr>
          <w:rFonts w:hint="eastAsia"/>
          <w:spacing w:val="0"/>
          <w:lang w:eastAsia="zh-CN"/>
        </w:rPr>
        <w:fldChar w:fldCharType="end"/>
      </w:r>
    </w:p>
    <w:p w14:paraId="3571B0B9">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_Toc7028 </w:instrText>
      </w:r>
      <w:r>
        <w:rPr>
          <w:rFonts w:hint="eastAsia"/>
          <w:spacing w:val="0"/>
          <w:lang w:eastAsia="zh-CN"/>
        </w:rPr>
        <w:fldChar w:fldCharType="separate"/>
      </w:r>
      <w:r>
        <w:rPr>
          <w:rFonts w:hint="eastAsia" w:ascii="黑体" w:eastAsia="黑体"/>
          <w:i w:val="0"/>
          <w:spacing w:val="0"/>
        </w:rPr>
        <w:t>8</w:t>
      </w:r>
      <w:r>
        <w:rPr>
          <w:rFonts w:hint="eastAsia" w:ascii="黑体" w:eastAsia="黑体"/>
          <w:i w:val="0"/>
          <w:spacing w:val="0"/>
          <w:lang w:eastAsia="zh-CN"/>
        </w:rPr>
        <w:t xml:space="preserve"> </w:t>
      </w:r>
      <w:r>
        <w:rPr>
          <w:rFonts w:hint="eastAsia" w:ascii="黑体" w:eastAsia="黑体"/>
          <w:i w:val="0"/>
          <w:spacing w:val="0"/>
        </w:rPr>
        <w:t xml:space="preserve"> </w:t>
      </w:r>
      <w:r>
        <w:rPr>
          <w:rFonts w:hint="eastAsia"/>
          <w:spacing w:val="0"/>
        </w:rPr>
        <w:t>电子</w:t>
      </w:r>
      <w:r>
        <w:rPr>
          <w:rFonts w:hint="eastAsia"/>
          <w:spacing w:val="0"/>
          <w:lang w:val="en-US" w:eastAsia="zh-CN"/>
        </w:rPr>
        <w:t>说明</w:t>
      </w:r>
      <w:r>
        <w:rPr>
          <w:spacing w:val="0"/>
        </w:rPr>
        <w:tab/>
      </w:r>
      <w:r>
        <w:rPr>
          <w:spacing w:val="0"/>
        </w:rPr>
        <w:fldChar w:fldCharType="begin"/>
      </w:r>
      <w:r>
        <w:rPr>
          <w:spacing w:val="0"/>
        </w:rPr>
        <w:instrText xml:space="preserve"> PAGEREF _Toc7028 \h </w:instrText>
      </w:r>
      <w:r>
        <w:rPr>
          <w:spacing w:val="0"/>
        </w:rPr>
        <w:fldChar w:fldCharType="separate"/>
      </w:r>
      <w:r>
        <w:rPr>
          <w:spacing w:val="0"/>
        </w:rPr>
        <w:t>5</w:t>
      </w:r>
      <w:r>
        <w:rPr>
          <w:spacing w:val="0"/>
        </w:rPr>
        <w:fldChar w:fldCharType="end"/>
      </w:r>
      <w:r>
        <w:rPr>
          <w:rFonts w:hint="eastAsia"/>
          <w:spacing w:val="0"/>
          <w:lang w:eastAsia="zh-CN"/>
        </w:rPr>
        <w:fldChar w:fldCharType="end"/>
      </w:r>
    </w:p>
    <w:p w14:paraId="44981F77">
      <w:pPr>
        <w:pStyle w:val="20"/>
        <w:tabs>
          <w:tab w:val="right" w:leader="dot" w:pos="9354"/>
        </w:tabs>
        <w:rPr>
          <w:spacing w:val="0"/>
        </w:rPr>
      </w:pPr>
      <w:r>
        <w:rPr>
          <w:rFonts w:hint="eastAsia"/>
          <w:spacing w:val="0"/>
          <w:lang w:eastAsia="zh-CN"/>
        </w:rPr>
        <w:fldChar w:fldCharType="begin"/>
      </w:r>
      <w:r>
        <w:rPr>
          <w:rFonts w:hint="eastAsia"/>
          <w:spacing w:val="0"/>
          <w:lang w:eastAsia="zh-CN"/>
        </w:rPr>
        <w:instrText xml:space="preserve"> HYPERLINK \l _Toc6144 </w:instrText>
      </w:r>
      <w:r>
        <w:rPr>
          <w:rFonts w:hint="eastAsia"/>
          <w:spacing w:val="0"/>
          <w:lang w:eastAsia="zh-CN"/>
        </w:rPr>
        <w:fldChar w:fldCharType="separate"/>
      </w:r>
      <w:r>
        <w:rPr>
          <w:rFonts w:hint="eastAsia"/>
          <w:spacing w:val="0"/>
        </w:rPr>
        <w:t>附录A</w:t>
      </w:r>
      <w:r>
        <w:rPr>
          <w:spacing w:val="0"/>
        </w:rPr>
        <w:t xml:space="preserve"> </w:t>
      </w:r>
      <w:r>
        <w:rPr>
          <w:rFonts w:hint="eastAsia"/>
          <w:spacing w:val="0"/>
          <w:lang w:eastAsia="zh-CN"/>
        </w:rPr>
        <w:t xml:space="preserve">（资料性 ） </w:t>
      </w:r>
      <w:r>
        <w:rPr>
          <w:rFonts w:hint="eastAsia"/>
          <w:spacing w:val="0"/>
          <w:lang w:val="en-US" w:eastAsia="zh-CN"/>
        </w:rPr>
        <w:t>积木拼装图形示例</w:t>
      </w:r>
      <w:r>
        <w:rPr>
          <w:spacing w:val="0"/>
        </w:rPr>
        <w:tab/>
      </w:r>
      <w:r>
        <w:rPr>
          <w:spacing w:val="0"/>
        </w:rPr>
        <w:fldChar w:fldCharType="begin"/>
      </w:r>
      <w:r>
        <w:rPr>
          <w:spacing w:val="0"/>
        </w:rPr>
        <w:instrText xml:space="preserve"> PAGEREF _Toc6144 \h </w:instrText>
      </w:r>
      <w:r>
        <w:rPr>
          <w:spacing w:val="0"/>
        </w:rPr>
        <w:fldChar w:fldCharType="separate"/>
      </w:r>
      <w:r>
        <w:rPr>
          <w:spacing w:val="0"/>
        </w:rPr>
        <w:t>6</w:t>
      </w:r>
      <w:r>
        <w:rPr>
          <w:spacing w:val="0"/>
        </w:rPr>
        <w:fldChar w:fldCharType="end"/>
      </w:r>
      <w:r>
        <w:rPr>
          <w:rFonts w:hint="eastAsia"/>
          <w:spacing w:val="0"/>
          <w:lang w:eastAsia="zh-CN"/>
        </w:rPr>
        <w:fldChar w:fldCharType="end"/>
      </w:r>
    </w:p>
    <w:p w14:paraId="399E5951">
      <w:pPr>
        <w:pStyle w:val="93"/>
        <w:bidi w:val="0"/>
        <w:rPr>
          <w:rFonts w:hint="eastAsia"/>
          <w:spacing w:val="0"/>
          <w:lang w:eastAsia="zh-CN"/>
        </w:rPr>
        <w:sectPr>
          <w:headerReference r:id="rId9" w:type="default"/>
          <w:footerReference r:id="rId10" w:type="default"/>
          <w:pgSz w:w="11906" w:h="16838"/>
          <w:pgMar w:top="1928" w:right="1134" w:bottom="1134" w:left="1134" w:header="1418" w:footer="1134" w:gutter="284"/>
          <w:pgNumType w:fmt="upperRoman" w:start="1"/>
          <w:cols w:space="425" w:num="1"/>
          <w:formProt w:val="0"/>
          <w:docGrid w:linePitch="312" w:charSpace="0"/>
        </w:sectPr>
      </w:pPr>
      <w:r>
        <w:rPr>
          <w:rFonts w:hint="eastAsia"/>
          <w:spacing w:val="0"/>
          <w:lang w:eastAsia="zh-CN"/>
        </w:rPr>
        <w:fldChar w:fldCharType="end"/>
      </w:r>
    </w:p>
    <w:bookmarkEnd w:id="21"/>
    <w:p w14:paraId="79AA9818">
      <w:pPr>
        <w:pStyle w:val="91"/>
        <w:bidi w:val="0"/>
        <w:spacing w:before="560"/>
        <w:rPr>
          <w:rFonts w:hint="eastAsia"/>
          <w:lang w:eastAsia="zh-CN"/>
        </w:rPr>
      </w:pPr>
      <w:bookmarkStart w:id="24" w:name="_Toc3331"/>
      <w:bookmarkStart w:id="25" w:name="BookMark2"/>
      <w:r>
        <w:rPr>
          <w:rFonts w:hint="eastAsia"/>
          <w:spacing w:val="320"/>
          <w:lang w:eastAsia="zh-CN"/>
        </w:rPr>
        <w:t>前</w:t>
      </w:r>
      <w:r>
        <w:rPr>
          <w:rFonts w:hint="eastAsia"/>
          <w:lang w:eastAsia="zh-CN"/>
        </w:rPr>
        <w:t>言</w:t>
      </w:r>
      <w:bookmarkEnd w:id="22"/>
      <w:bookmarkEnd w:id="23"/>
      <w:bookmarkEnd w:id="24"/>
    </w:p>
    <w:p w14:paraId="0CD383FF">
      <w:pPr>
        <w:pStyle w:val="58"/>
        <w:ind w:firstLine="420"/>
        <w:rPr>
          <w:rFonts w:hint="eastAsia"/>
          <w:lang w:eastAsia="zh-CN"/>
        </w:rPr>
      </w:pPr>
      <w:r>
        <w:rPr>
          <w:rFonts w:hint="eastAsia"/>
          <w:lang w:eastAsia="zh-CN"/>
        </w:rPr>
        <w:t>本文件按照GB/T 1.1—2020《标准化工作导则  第1部分：标准化文件的结构和起草规则》的规定起草。</w:t>
      </w:r>
    </w:p>
    <w:p w14:paraId="6D22F673">
      <w:pPr>
        <w:pStyle w:val="58"/>
        <w:ind w:firstLine="420"/>
        <w:rPr>
          <w:rFonts w:hint="eastAsia"/>
          <w:lang w:eastAsia="zh-CN"/>
        </w:rPr>
      </w:pPr>
      <w:r>
        <w:rPr>
          <w:rFonts w:hint="eastAsia"/>
          <w:lang w:eastAsia="zh-CN"/>
        </w:rPr>
        <w:t>请注意文件的某些内容可能涉及专利。本文件的发布机构不承担识别专利的责任。</w:t>
      </w:r>
    </w:p>
    <w:p w14:paraId="1AF1BB9B">
      <w:pPr>
        <w:pStyle w:val="58"/>
        <w:ind w:firstLine="420"/>
        <w:rPr>
          <w:rFonts w:hint="eastAsia"/>
        </w:rPr>
      </w:pPr>
      <w:r>
        <w:rPr>
          <w:rFonts w:hint="eastAsia"/>
        </w:rPr>
        <w:t>本标准由汕头市高德斯精密科技有限公司提出。</w:t>
      </w:r>
    </w:p>
    <w:p w14:paraId="46B6F669">
      <w:pPr>
        <w:pStyle w:val="58"/>
        <w:ind w:firstLine="420"/>
        <w:rPr>
          <w:rFonts w:hint="eastAsia"/>
        </w:rPr>
      </w:pPr>
      <w:r>
        <w:rPr>
          <w:rFonts w:hint="eastAsia"/>
        </w:rPr>
        <w:t>本标准由中国消费品质量安全促进会归口。</w:t>
      </w:r>
    </w:p>
    <w:p w14:paraId="7C06C180">
      <w:pPr>
        <w:pStyle w:val="58"/>
        <w:ind w:firstLine="420"/>
        <w:rPr>
          <w:rFonts w:hint="eastAsia"/>
          <w:lang w:eastAsia="zh-CN"/>
        </w:rPr>
      </w:pPr>
      <w:r>
        <w:rPr>
          <w:rFonts w:hint="eastAsia"/>
          <w:lang w:eastAsia="zh-CN"/>
        </w:rPr>
        <w:t>本文件起草单位：</w:t>
      </w:r>
    </w:p>
    <w:p w14:paraId="62B9012C">
      <w:pPr>
        <w:pStyle w:val="58"/>
        <w:ind w:firstLine="420"/>
        <w:rPr>
          <w:rFonts w:hint="eastAsia"/>
          <w:lang w:eastAsia="zh-CN"/>
        </w:rPr>
      </w:pPr>
      <w:r>
        <w:rPr>
          <w:rFonts w:hint="eastAsia"/>
          <w:lang w:eastAsia="zh-CN"/>
        </w:rPr>
        <w:t>本文件主要起草人：</w:t>
      </w:r>
      <w:bookmarkStart w:id="161" w:name="_GoBack"/>
      <w:bookmarkEnd w:id="161"/>
    </w:p>
    <w:p w14:paraId="7F5EEB1E">
      <w:pPr>
        <w:pStyle w:val="58"/>
        <w:bidi w:val="0"/>
        <w:rPr>
          <w:rFonts w:hint="eastAsia"/>
          <w:lang w:eastAsia="zh-CN"/>
        </w:rPr>
      </w:pPr>
    </w:p>
    <w:p w14:paraId="50B69DF0">
      <w:pPr>
        <w:pStyle w:val="58"/>
        <w:bidi w:val="0"/>
        <w:rPr>
          <w:rFonts w:hint="eastAsia"/>
          <w:lang w:eastAsia="zh-CN"/>
        </w:rPr>
        <w:sectPr>
          <w:pgSz w:w="11906" w:h="16838"/>
          <w:pgMar w:top="1928" w:right="1134" w:bottom="1134" w:left="1134" w:header="1418" w:footer="1134" w:gutter="284"/>
          <w:pgNumType w:fmt="upperRoman"/>
          <w:cols w:space="425" w:num="1"/>
          <w:formProt w:val="0"/>
          <w:docGrid w:linePitch="312" w:charSpace="0"/>
        </w:sectPr>
      </w:pPr>
    </w:p>
    <w:bookmarkEnd w:id="25"/>
    <w:p w14:paraId="2BEA99A7">
      <w:pPr>
        <w:spacing w:line="20" w:lineRule="exact"/>
        <w:jc w:val="center"/>
        <w:rPr>
          <w:rFonts w:hint="eastAsia" w:ascii="黑体" w:hAnsi="黑体" w:eastAsia="黑体"/>
          <w:sz w:val="32"/>
          <w:szCs w:val="32"/>
        </w:rPr>
      </w:pPr>
      <w:bookmarkStart w:id="26" w:name="BookMark4"/>
    </w:p>
    <w:p w14:paraId="58FA81F3">
      <w:pPr>
        <w:spacing w:line="20" w:lineRule="exact"/>
        <w:jc w:val="center"/>
        <w:rPr>
          <w:rFonts w:hint="eastAsia" w:ascii="黑体" w:hAnsi="黑体" w:eastAsia="黑体"/>
          <w:sz w:val="32"/>
          <w:szCs w:val="32"/>
        </w:rPr>
      </w:pPr>
    </w:p>
    <w:sdt>
      <w:sdtPr>
        <w:tag w:val="NEW_STAND_NAME"/>
        <w:id w:val="595910757"/>
        <w:lock w:val="sdtLocked"/>
        <w:placeholder>
          <w:docPart w:val="9B3BEDB4F2724F9D81F4444A5CCE266D"/>
        </w:placeholder>
      </w:sdtPr>
      <w:sdtContent>
        <w:p w14:paraId="1D58211E">
          <w:pPr>
            <w:pStyle w:val="179"/>
            <w:bidi w:val="0"/>
            <w:spacing w:before="4" w:beforeLines="1" w:after="687" w:afterLines="220"/>
            <w:rPr>
              <w:rFonts w:hint="eastAsia"/>
            </w:rPr>
          </w:pPr>
          <w:bookmarkStart w:id="27" w:name="NEW_STAND_NAME"/>
          <w:r>
            <w:rPr>
              <w:rFonts w:hint="eastAsia"/>
              <w:lang w:eastAsia="zh-CN"/>
            </w:rPr>
            <w:t>塑料积木玩具 说明书编制指引</w:t>
          </w:r>
        </w:p>
      </w:sdtContent>
    </w:sdt>
    <w:bookmarkEnd w:id="27"/>
    <w:p w14:paraId="58FB4D92">
      <w:pPr>
        <w:pStyle w:val="106"/>
        <w:spacing w:before="240" w:after="240"/>
      </w:pPr>
      <w:bookmarkStart w:id="28" w:name="_Toc26986771"/>
      <w:bookmarkStart w:id="29" w:name="_Toc26986530"/>
      <w:bookmarkStart w:id="30" w:name="_Toc17233333"/>
      <w:bookmarkStart w:id="31" w:name="_Toc27864"/>
      <w:bookmarkStart w:id="32" w:name="_Toc26718930"/>
      <w:bookmarkStart w:id="33" w:name="_Toc24884211"/>
      <w:bookmarkStart w:id="34" w:name="_Toc26648465"/>
      <w:bookmarkStart w:id="35" w:name="_Toc15245"/>
      <w:bookmarkStart w:id="36" w:name="_Toc7647"/>
      <w:bookmarkStart w:id="37" w:name="_Toc4157"/>
      <w:bookmarkStart w:id="38" w:name="_Toc24884218"/>
      <w:bookmarkStart w:id="39" w:name="_Toc17233325"/>
      <w:bookmarkStart w:id="40" w:name="_Toc97192964"/>
      <w:r>
        <w:rPr>
          <w:rFonts w:hint="eastAsia"/>
        </w:rPr>
        <w:t>范围</w:t>
      </w:r>
      <w:bookmarkEnd w:id="28"/>
      <w:bookmarkEnd w:id="29"/>
      <w:bookmarkEnd w:id="30"/>
      <w:bookmarkEnd w:id="31"/>
      <w:bookmarkEnd w:id="32"/>
      <w:bookmarkEnd w:id="33"/>
      <w:bookmarkEnd w:id="34"/>
      <w:bookmarkEnd w:id="35"/>
      <w:bookmarkEnd w:id="36"/>
      <w:bookmarkEnd w:id="37"/>
      <w:bookmarkEnd w:id="38"/>
      <w:bookmarkEnd w:id="39"/>
      <w:bookmarkEnd w:id="40"/>
    </w:p>
    <w:p w14:paraId="3BDBB36E">
      <w:pPr>
        <w:pStyle w:val="58"/>
        <w:ind w:firstLine="420"/>
        <w:rPr>
          <w:rFonts w:hint="eastAsia" w:ascii="宋体" w:hAnsi="宋体" w:eastAsia="宋体" w:cs="宋体"/>
          <w:lang w:eastAsia="zh-CN"/>
        </w:rPr>
      </w:pPr>
      <w:bookmarkStart w:id="41" w:name="_Toc17233334"/>
      <w:bookmarkStart w:id="42" w:name="_Toc17233326"/>
      <w:bookmarkStart w:id="43" w:name="_Toc26648466"/>
      <w:bookmarkStart w:id="44" w:name="_Toc24884219"/>
      <w:bookmarkStart w:id="45" w:name="_Toc24884212"/>
      <w:r>
        <w:rPr>
          <w:rFonts w:hint="eastAsia" w:ascii="宋体" w:hAnsi="宋体" w:eastAsia="宋体" w:cs="宋体"/>
          <w:lang w:eastAsia="zh-CN"/>
        </w:rPr>
        <w:t>本文件</w:t>
      </w:r>
      <w:r>
        <w:rPr>
          <w:rFonts w:hint="eastAsia" w:ascii="宋体" w:hAnsi="宋体" w:eastAsia="宋体" w:cs="宋体"/>
          <w:lang w:val="en-US" w:eastAsia="zh-CN"/>
        </w:rPr>
        <w:t>提供</w:t>
      </w:r>
      <w:r>
        <w:rPr>
          <w:rFonts w:hint="eastAsia" w:ascii="宋体" w:hAnsi="宋体" w:eastAsia="宋体" w:cs="宋体"/>
          <w:lang w:eastAsia="zh-CN"/>
        </w:rPr>
        <w:t>了塑料积木玩具说明书</w:t>
      </w:r>
      <w:r>
        <w:rPr>
          <w:rFonts w:hint="eastAsia" w:ascii="宋体" w:hAnsi="宋体" w:eastAsia="宋体" w:cs="宋体"/>
          <w:lang w:val="en-US" w:eastAsia="zh-CN"/>
        </w:rPr>
        <w:t>编制</w:t>
      </w:r>
      <w:r>
        <w:rPr>
          <w:rFonts w:hint="eastAsia" w:ascii="宋体" w:hAnsi="宋体" w:eastAsia="宋体" w:cs="宋体"/>
          <w:lang w:eastAsia="zh-CN"/>
        </w:rPr>
        <w:t>的基本原则、</w:t>
      </w:r>
      <w:r>
        <w:rPr>
          <w:rFonts w:hint="eastAsia" w:ascii="宋体" w:hAnsi="宋体" w:eastAsia="宋体" w:cs="宋体"/>
          <w:lang w:val="en-US" w:eastAsia="zh-CN"/>
        </w:rPr>
        <w:t>内容构成、视觉元素、</w:t>
      </w:r>
      <w:r>
        <w:rPr>
          <w:rFonts w:hint="eastAsia" w:ascii="宋体" w:hAnsi="宋体" w:eastAsia="宋体" w:cs="宋体"/>
        </w:rPr>
        <w:t>拼装引导</w:t>
      </w:r>
      <w:r>
        <w:rPr>
          <w:rFonts w:hint="eastAsia" w:ascii="宋体" w:hAnsi="宋体" w:eastAsia="宋体" w:cs="宋体"/>
          <w:lang w:eastAsia="zh-CN"/>
        </w:rPr>
        <w:t>和电子说明</w:t>
      </w:r>
      <w:r>
        <w:rPr>
          <w:rFonts w:hint="eastAsia" w:ascii="宋体" w:hAnsi="宋体" w:eastAsia="宋体" w:cs="宋体"/>
          <w:lang w:val="en-US" w:eastAsia="zh-CN"/>
        </w:rPr>
        <w:t>等</w:t>
      </w:r>
      <w:r>
        <w:rPr>
          <w:rFonts w:hint="eastAsia" w:ascii="宋体" w:hAnsi="宋体" w:eastAsia="宋体" w:cs="宋体"/>
          <w:lang w:eastAsia="zh-CN"/>
        </w:rPr>
        <w:t>的</w:t>
      </w:r>
      <w:r>
        <w:rPr>
          <w:rFonts w:hint="eastAsia" w:ascii="宋体" w:hAnsi="宋体" w:eastAsia="宋体" w:cs="宋体"/>
          <w:lang w:val="en-US" w:eastAsia="zh-CN"/>
        </w:rPr>
        <w:t>指导</w:t>
      </w:r>
      <w:r>
        <w:rPr>
          <w:rFonts w:hint="eastAsia" w:ascii="宋体" w:hAnsi="宋体" w:eastAsia="宋体" w:cs="宋体"/>
          <w:lang w:eastAsia="zh-CN"/>
        </w:rPr>
        <w:t>。</w:t>
      </w:r>
    </w:p>
    <w:p w14:paraId="306B4BDC">
      <w:pPr>
        <w:pStyle w:val="58"/>
        <w:ind w:firstLine="420"/>
        <w:rPr>
          <w:rFonts w:hint="eastAsia" w:ascii="宋体" w:hAnsi="宋体" w:eastAsia="宋体" w:cs="宋体"/>
          <w:lang w:eastAsia="zh-CN"/>
        </w:rPr>
      </w:pPr>
      <w:r>
        <w:rPr>
          <w:rFonts w:hint="eastAsia" w:ascii="宋体" w:hAnsi="宋体" w:eastAsia="宋体" w:cs="宋体"/>
          <w:lang w:eastAsia="zh-CN"/>
        </w:rPr>
        <w:t>本文件适用于塑料积木玩具说明书的编制。</w:t>
      </w:r>
    </w:p>
    <w:p w14:paraId="100CE7B8">
      <w:pPr>
        <w:pStyle w:val="58"/>
        <w:ind w:firstLine="420"/>
        <w:rPr>
          <w:rFonts w:hint="eastAsia" w:ascii="宋体" w:hAnsi="宋体" w:eastAsia="宋体" w:cs="宋体"/>
          <w:lang w:eastAsia="zh-CN"/>
        </w:rPr>
      </w:pPr>
      <w:r>
        <w:rPr>
          <w:rFonts w:hint="eastAsia" w:ascii="宋体" w:hAnsi="宋体" w:eastAsia="宋体" w:cs="宋体"/>
          <w:lang w:eastAsia="zh-CN"/>
        </w:rPr>
        <w:t>针对14岁以上成人玩家的积木及其他拼装玩具的说明书可参照使用。</w:t>
      </w:r>
    </w:p>
    <w:p w14:paraId="767F512F">
      <w:pPr>
        <w:pStyle w:val="106"/>
        <w:spacing w:before="240" w:after="240"/>
      </w:pPr>
      <w:bookmarkStart w:id="46" w:name="_Toc32753"/>
      <w:bookmarkStart w:id="47" w:name="_Toc26986531"/>
      <w:bookmarkStart w:id="48" w:name="_Toc1842"/>
      <w:bookmarkStart w:id="49" w:name="_Toc97192965"/>
      <w:bookmarkStart w:id="50" w:name="_Toc8299"/>
      <w:bookmarkStart w:id="51" w:name="_Toc7043"/>
      <w:bookmarkStart w:id="52" w:name="_Toc26986772"/>
      <w:bookmarkStart w:id="53" w:name="_Toc26718931"/>
      <w:r>
        <w:rPr>
          <w:rFonts w:hint="eastAsia"/>
        </w:rPr>
        <w:t>规范性引用文件</w:t>
      </w:r>
      <w:bookmarkEnd w:id="41"/>
      <w:bookmarkEnd w:id="42"/>
      <w:bookmarkEnd w:id="43"/>
      <w:bookmarkEnd w:id="44"/>
      <w:bookmarkEnd w:id="45"/>
      <w:bookmarkEnd w:id="46"/>
      <w:bookmarkEnd w:id="47"/>
      <w:bookmarkEnd w:id="48"/>
      <w:bookmarkEnd w:id="49"/>
      <w:bookmarkEnd w:id="50"/>
      <w:bookmarkEnd w:id="51"/>
      <w:bookmarkEnd w:id="52"/>
      <w:bookmarkEnd w:id="53"/>
    </w:p>
    <w:sdt>
      <w:sdtPr>
        <w:rPr>
          <w:rFonts w:hint="eastAsia" w:ascii="宋体" w:hAnsi="宋体" w:eastAsia="宋体" w:cs="宋体"/>
        </w:rPr>
        <w:id w:val="715848253"/>
        <w:placeholder>
          <w:docPart w:val="78956B8278AF41489B4C226600D2E8C4"/>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ascii="宋体" w:hAnsi="宋体" w:eastAsia="宋体" w:cs="宋体"/>
          <w:color w:val="auto"/>
          <w:highlight w:val="none"/>
        </w:rPr>
      </w:sdtEndPr>
      <w:sdtContent>
        <w:p w14:paraId="0D5A6A32">
          <w:pPr>
            <w:pStyle w:val="58"/>
            <w:ind w:firstLine="420"/>
            <w:rPr>
              <w:rFonts w:hint="eastAsia" w:ascii="宋体" w:hAnsi="宋体" w:eastAsia="宋体" w:cs="宋体"/>
              <w:color w:val="auto"/>
              <w:highlight w:val="none"/>
            </w:rPr>
          </w:pPr>
          <w:r>
            <w:rPr>
              <w:rFonts w:hint="eastAsia" w:ascii="宋体" w:hAnsi="宋体" w:eastAsia="宋体" w:cs="宋体"/>
              <w:color w:val="auto"/>
              <w:highlight w:val="none"/>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13C89C8">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GB/T 5296.5 消费品使用说明 第5部分：玩具</w:t>
      </w:r>
    </w:p>
    <w:p w14:paraId="3283C60C">
      <w:pPr>
        <w:pStyle w:val="58"/>
        <w:ind w:firstLine="420"/>
        <w:rPr>
          <w:rFonts w:hint="eastAsia" w:ascii="宋体" w:hAnsi="宋体" w:eastAsia="宋体" w:cs="宋体"/>
          <w:color w:val="auto"/>
          <w:highlight w:val="none"/>
          <w:lang w:eastAsia="zh-CN"/>
        </w:rPr>
      </w:pPr>
      <w:r>
        <w:rPr>
          <w:rFonts w:hint="eastAsia" w:ascii="宋体" w:hAnsi="宋体" w:eastAsia="宋体" w:cs="宋体"/>
          <w:color w:val="auto"/>
          <w:highlight w:val="none"/>
          <w:lang w:eastAsia="zh-CN"/>
        </w:rPr>
        <w:t>GB 6675.1 玩具安全 第1部分：基本规范</w:t>
      </w:r>
    </w:p>
    <w:p w14:paraId="0021E55E">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eastAsia="zh-CN"/>
        </w:rPr>
        <w:t>GB/T</w:t>
      </w:r>
      <w:r>
        <w:rPr>
          <w:rFonts w:hint="eastAsia" w:ascii="宋体" w:hAnsi="宋体" w:eastAsia="宋体" w:cs="宋体"/>
          <w:color w:val="auto"/>
          <w:highlight w:val="none"/>
          <w:lang w:val="en-US" w:eastAsia="zh-CN"/>
        </w:rPr>
        <w:t xml:space="preserve"> </w:t>
      </w:r>
      <w:r>
        <w:rPr>
          <w:rFonts w:hint="eastAsia" w:ascii="宋体" w:hAnsi="宋体" w:eastAsia="宋体" w:cs="宋体"/>
          <w:color w:val="auto"/>
          <w:highlight w:val="none"/>
          <w:lang w:eastAsia="zh-CN"/>
        </w:rPr>
        <w:t>19678.1</w:t>
      </w:r>
      <w:r>
        <w:rPr>
          <w:rFonts w:hint="eastAsia" w:ascii="宋体" w:hAnsi="宋体" w:eastAsia="宋体" w:cs="宋体"/>
          <w:color w:val="auto"/>
          <w:highlight w:val="none"/>
          <w:lang w:val="en-US" w:eastAsia="zh-CN"/>
        </w:rPr>
        <w:t xml:space="preserve"> 使用说明的编制 构成、内容和表示方法 第1部分：通则和详细要求</w:t>
      </w:r>
    </w:p>
    <w:p w14:paraId="715D5361">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GB/T 26710 玩具安全 年龄警告图标</w:t>
      </w:r>
    </w:p>
    <w:p w14:paraId="6AABCFF0">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GB/T 28022 玩具适用年龄判定指南</w:t>
      </w:r>
    </w:p>
    <w:p w14:paraId="213893CC">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GB/T 41530 玩具及儿童用品术语和定义</w:t>
      </w:r>
    </w:p>
    <w:p w14:paraId="13DCA263">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T/CPQS XX 塑料积木玩具 质量要求与分级</w:t>
      </w:r>
    </w:p>
    <w:p w14:paraId="40EF840C">
      <w:pPr>
        <w:pStyle w:val="106"/>
        <w:spacing w:before="240" w:after="240"/>
        <w:rPr>
          <w:color w:val="auto"/>
          <w:highlight w:val="none"/>
        </w:rPr>
      </w:pPr>
      <w:bookmarkStart w:id="54" w:name="_Toc6247"/>
      <w:bookmarkStart w:id="55" w:name="_Toc10461"/>
      <w:bookmarkStart w:id="56" w:name="_Toc97192966"/>
      <w:bookmarkStart w:id="57" w:name="_Toc26395"/>
      <w:bookmarkStart w:id="58" w:name="_Toc32114"/>
      <w:r>
        <w:rPr>
          <w:rFonts w:hint="eastAsia"/>
          <w:color w:val="auto"/>
          <w:szCs w:val="21"/>
          <w:highlight w:val="none"/>
        </w:rPr>
        <w:t>术语和定义</w:t>
      </w:r>
      <w:bookmarkEnd w:id="54"/>
      <w:bookmarkEnd w:id="55"/>
      <w:bookmarkEnd w:id="56"/>
      <w:bookmarkEnd w:id="57"/>
      <w:bookmarkEnd w:id="58"/>
    </w:p>
    <w:sdt>
      <w:sdtPr>
        <w:rPr>
          <w:rFonts w:hint="eastAsia" w:ascii="宋体" w:hAnsi="宋体" w:eastAsia="宋体" w:cs="宋体"/>
          <w:color w:val="auto"/>
          <w:highlight w:val="none"/>
        </w:rPr>
        <w:id w:val="-1909835108"/>
        <w:placeholder>
          <w:docPart w:val="DD487E154D8B46B1811108614A11313A"/>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hint="eastAsia" w:ascii="宋体" w:hAnsi="宋体" w:eastAsia="宋体" w:cs="宋体"/>
          <w:color w:val="auto"/>
          <w:highlight w:val="none"/>
        </w:rPr>
      </w:sdtEndPr>
      <w:sdtContent>
        <w:p w14:paraId="3FA990C2">
          <w:pPr>
            <w:pStyle w:val="58"/>
            <w:ind w:firstLine="420"/>
            <w:rPr>
              <w:color w:val="auto"/>
              <w:highlight w:val="none"/>
            </w:rPr>
          </w:pPr>
          <w:bookmarkStart w:id="59" w:name="_Toc26986532"/>
          <w:bookmarkEnd w:id="59"/>
          <w:r>
            <w:rPr>
              <w:rFonts w:hint="eastAsia" w:ascii="宋体" w:hAnsi="宋体" w:eastAsia="宋体" w:cs="宋体"/>
              <w:color w:val="auto"/>
              <w:highlight w:val="none"/>
            </w:rPr>
            <w:t>GB 6675.1</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 xml:space="preserve">GB/T 41530和T/XXX XX </w:t>
          </w:r>
          <w:r>
            <w:rPr>
              <w:rFonts w:hint="eastAsia" w:ascii="宋体" w:hAnsi="宋体" w:eastAsia="宋体" w:cs="宋体"/>
              <w:color w:val="auto"/>
              <w:sz w:val="21"/>
              <w:highlight w:val="none"/>
              <w:lang w:val="en-US" w:eastAsia="zh-CN" w:bidi="ar-SA"/>
            </w:rPr>
            <w:t>界定的术语和定义适用于本文件。</w:t>
          </w:r>
        </w:p>
      </w:sdtContent>
    </w:sdt>
    <w:p w14:paraId="4D3B27B1">
      <w:pPr>
        <w:pStyle w:val="106"/>
        <w:bidi w:val="0"/>
        <w:rPr>
          <w:color w:val="auto"/>
          <w:highlight w:val="none"/>
        </w:rPr>
      </w:pPr>
      <w:bookmarkStart w:id="60" w:name="_Toc26929"/>
      <w:bookmarkStart w:id="61" w:name="_Toc56"/>
      <w:r>
        <w:rPr>
          <w:rFonts w:hint="eastAsia"/>
          <w:color w:val="auto"/>
          <w:highlight w:val="none"/>
          <w:lang w:val="en-US" w:eastAsia="zh-CN"/>
        </w:rPr>
        <w:t>基本原则</w:t>
      </w:r>
      <w:bookmarkEnd w:id="60"/>
      <w:bookmarkEnd w:id="61"/>
    </w:p>
    <w:p w14:paraId="1548A167">
      <w:pPr>
        <w:pStyle w:val="107"/>
        <w:bidi w:val="0"/>
        <w:rPr>
          <w:rFonts w:hint="eastAsia"/>
          <w:color w:val="auto"/>
          <w:highlight w:val="none"/>
          <w:lang w:val="en-US" w:eastAsia="zh-CN"/>
        </w:rPr>
      </w:pPr>
      <w:bookmarkStart w:id="62" w:name="_Toc18307"/>
      <w:bookmarkStart w:id="63" w:name="_Toc26377"/>
      <w:bookmarkStart w:id="64" w:name="_Toc30394"/>
      <w:bookmarkStart w:id="65" w:name="_Toc15746"/>
      <w:r>
        <w:rPr>
          <w:rFonts w:hint="eastAsia"/>
          <w:color w:val="auto"/>
          <w:highlight w:val="none"/>
          <w:lang w:val="en-US" w:eastAsia="zh-CN"/>
        </w:rPr>
        <w:t>图形优先</w:t>
      </w:r>
      <w:bookmarkEnd w:id="62"/>
      <w:bookmarkEnd w:id="63"/>
      <w:bookmarkEnd w:id="64"/>
      <w:bookmarkEnd w:id="65"/>
    </w:p>
    <w:p w14:paraId="4B422443">
      <w:pPr>
        <w:pStyle w:val="58"/>
        <w:ind w:firstLine="420"/>
        <w:rPr>
          <w:rFonts w:hint="eastAsia" w:cs="Times New Roman"/>
          <w:color w:val="auto"/>
          <w:sz w:val="21"/>
          <w:highlight w:val="none"/>
          <w:lang w:val="en-US" w:eastAsia="zh-CN" w:bidi="ar-SA"/>
        </w:rPr>
      </w:pPr>
      <w:r>
        <w:rPr>
          <w:rFonts w:hint="eastAsia" w:cs="Times New Roman"/>
          <w:color w:val="auto"/>
          <w:sz w:val="21"/>
          <w:highlight w:val="none"/>
          <w:lang w:val="en-US" w:eastAsia="zh-CN" w:bidi="ar-SA"/>
        </w:rPr>
        <w:t>说明书宜以图形化表达为核心，减少文字依赖，确保图纸精度、色彩准确、排版清晰。</w:t>
      </w:r>
    </w:p>
    <w:p w14:paraId="0BFF29DF">
      <w:pPr>
        <w:pStyle w:val="107"/>
        <w:bidi w:val="0"/>
        <w:rPr>
          <w:rFonts w:hint="eastAsia"/>
          <w:color w:val="auto"/>
          <w:highlight w:val="none"/>
          <w:lang w:val="en-US" w:eastAsia="zh-CN"/>
        </w:rPr>
      </w:pPr>
      <w:bookmarkStart w:id="66" w:name="_Toc4745"/>
      <w:bookmarkStart w:id="67" w:name="_Toc285"/>
      <w:bookmarkStart w:id="68" w:name="_Toc21847"/>
      <w:bookmarkStart w:id="69" w:name="_Toc17947"/>
      <w:r>
        <w:rPr>
          <w:rFonts w:hint="eastAsia"/>
          <w:color w:val="auto"/>
          <w:highlight w:val="none"/>
          <w:lang w:val="en-US" w:eastAsia="zh-CN"/>
        </w:rPr>
        <w:t>逻辑</w:t>
      </w:r>
      <w:bookmarkEnd w:id="66"/>
      <w:bookmarkEnd w:id="67"/>
      <w:r>
        <w:rPr>
          <w:rFonts w:hint="eastAsia"/>
          <w:color w:val="auto"/>
          <w:highlight w:val="none"/>
          <w:lang w:val="en-US" w:eastAsia="zh-CN"/>
        </w:rPr>
        <w:t>有序</w:t>
      </w:r>
      <w:bookmarkEnd w:id="68"/>
      <w:bookmarkEnd w:id="69"/>
    </w:p>
    <w:p w14:paraId="22F54E24">
      <w:pPr>
        <w:pStyle w:val="58"/>
        <w:ind w:firstLine="420"/>
        <w:rPr>
          <w:rFonts w:hint="eastAsia" w:cs="Times New Roman"/>
          <w:color w:val="auto"/>
          <w:sz w:val="21"/>
          <w:highlight w:val="none"/>
          <w:lang w:val="en-US" w:eastAsia="zh-CN" w:bidi="ar-SA"/>
        </w:rPr>
      </w:pPr>
      <w:r>
        <w:rPr>
          <w:rFonts w:hint="eastAsia" w:cs="Times New Roman"/>
          <w:color w:val="auto"/>
          <w:sz w:val="21"/>
          <w:highlight w:val="none"/>
          <w:lang w:val="en-US" w:eastAsia="zh-CN" w:bidi="ar-SA"/>
        </w:rPr>
        <w:t>拼装步骤宜按“自下而上、先内后外、同层同步”的顺序组织；复杂套组宜模块化分解，支持并行拼装后组合。</w:t>
      </w:r>
    </w:p>
    <w:p w14:paraId="5B2BD8C1">
      <w:pPr>
        <w:pStyle w:val="107"/>
        <w:bidi w:val="0"/>
        <w:rPr>
          <w:rFonts w:hint="eastAsia"/>
          <w:color w:val="auto"/>
          <w:highlight w:val="none"/>
          <w:lang w:val="en-US" w:eastAsia="zh-CN"/>
        </w:rPr>
      </w:pPr>
      <w:bookmarkStart w:id="70" w:name="_Toc2948"/>
      <w:bookmarkStart w:id="71" w:name="_Toc4463"/>
      <w:r>
        <w:rPr>
          <w:rFonts w:hint="eastAsia"/>
          <w:color w:val="auto"/>
          <w:highlight w:val="none"/>
          <w:lang w:val="en-US" w:eastAsia="zh-CN"/>
        </w:rPr>
        <w:t>表达精准</w:t>
      </w:r>
      <w:bookmarkEnd w:id="70"/>
      <w:bookmarkEnd w:id="71"/>
    </w:p>
    <w:p w14:paraId="23C3E6D8">
      <w:pPr>
        <w:pStyle w:val="58"/>
        <w:ind w:firstLine="420"/>
        <w:rPr>
          <w:rFonts w:hint="eastAsia" w:cs="Times New Roman"/>
          <w:color w:val="auto"/>
          <w:sz w:val="21"/>
          <w:highlight w:val="none"/>
          <w:lang w:val="en-US" w:eastAsia="zh-CN" w:bidi="ar-SA"/>
        </w:rPr>
      </w:pPr>
      <w:r>
        <w:rPr>
          <w:rFonts w:hint="eastAsia" w:cs="Times New Roman"/>
          <w:color w:val="auto"/>
          <w:sz w:val="21"/>
          <w:highlight w:val="none"/>
          <w:lang w:val="en-US" w:eastAsia="zh-CN" w:bidi="ar-SA"/>
        </w:rPr>
        <w:t>统一采用固定等距透视，以高对比色块与边界框界定操作区域，确保空间关系清晰，避免认知偏差。</w:t>
      </w:r>
    </w:p>
    <w:p w14:paraId="2719E146">
      <w:pPr>
        <w:pStyle w:val="107"/>
        <w:bidi w:val="0"/>
        <w:rPr>
          <w:rFonts w:hint="eastAsia"/>
          <w:color w:val="auto"/>
          <w:highlight w:val="none"/>
          <w:lang w:val="en-US" w:eastAsia="zh-CN"/>
        </w:rPr>
      </w:pPr>
      <w:bookmarkStart w:id="72" w:name="_Toc19597"/>
      <w:bookmarkStart w:id="73" w:name="_Toc23183"/>
      <w:bookmarkStart w:id="74" w:name="_Toc28762"/>
      <w:bookmarkStart w:id="75" w:name="_Toc31706"/>
      <w:r>
        <w:rPr>
          <w:rFonts w:hint="eastAsia"/>
          <w:color w:val="auto"/>
          <w:highlight w:val="none"/>
          <w:lang w:val="en-US" w:eastAsia="zh-CN"/>
        </w:rPr>
        <w:t>版式统一</w:t>
      </w:r>
      <w:bookmarkEnd w:id="72"/>
      <w:bookmarkEnd w:id="73"/>
      <w:bookmarkEnd w:id="74"/>
      <w:bookmarkEnd w:id="75"/>
    </w:p>
    <w:p w14:paraId="312A08C6">
      <w:pPr>
        <w:pStyle w:val="58"/>
        <w:ind w:firstLine="420"/>
        <w:rPr>
          <w:rFonts w:hint="eastAsia" w:cs="Times New Roman"/>
          <w:color w:val="auto"/>
          <w:sz w:val="21"/>
          <w:highlight w:val="none"/>
          <w:lang w:val="en-US" w:eastAsia="zh-CN" w:bidi="ar-SA"/>
        </w:rPr>
      </w:pPr>
      <w:r>
        <w:rPr>
          <w:rFonts w:hint="eastAsia" w:cs="Times New Roman"/>
          <w:color w:val="auto"/>
          <w:sz w:val="21"/>
          <w:highlight w:val="none"/>
          <w:lang w:val="en-US" w:eastAsia="zh-CN" w:bidi="ar-SA"/>
        </w:rPr>
        <w:t>积木图形、步骤分解、比例尺等核心元素宜实行统一版式标准，形成一致识别体系，降低用户认知负荷。</w:t>
      </w:r>
    </w:p>
    <w:p w14:paraId="41CE05B9">
      <w:pPr>
        <w:pStyle w:val="107"/>
        <w:bidi w:val="0"/>
        <w:rPr>
          <w:rFonts w:hint="eastAsia"/>
          <w:color w:val="auto"/>
          <w:highlight w:val="none"/>
          <w:lang w:val="en-US" w:eastAsia="zh-CN"/>
        </w:rPr>
      </w:pPr>
      <w:bookmarkStart w:id="76" w:name="_Toc19946"/>
      <w:bookmarkStart w:id="77" w:name="_Toc11764"/>
      <w:bookmarkStart w:id="78" w:name="_Toc28626"/>
      <w:bookmarkStart w:id="79" w:name="_Toc7795"/>
      <w:r>
        <w:rPr>
          <w:rFonts w:hint="eastAsia"/>
          <w:color w:val="auto"/>
          <w:highlight w:val="none"/>
          <w:lang w:val="en-US" w:eastAsia="zh-CN"/>
        </w:rPr>
        <w:t>品牌</w:t>
      </w:r>
      <w:bookmarkEnd w:id="76"/>
      <w:bookmarkEnd w:id="77"/>
      <w:r>
        <w:rPr>
          <w:rFonts w:hint="eastAsia"/>
          <w:color w:val="auto"/>
          <w:highlight w:val="none"/>
          <w:lang w:val="en-US" w:eastAsia="zh-CN"/>
        </w:rPr>
        <w:t>融入</w:t>
      </w:r>
      <w:bookmarkEnd w:id="78"/>
      <w:bookmarkEnd w:id="79"/>
    </w:p>
    <w:p w14:paraId="716E9D0C">
      <w:pPr>
        <w:pStyle w:val="58"/>
        <w:ind w:firstLine="420"/>
        <w:rPr>
          <w:color w:val="auto"/>
          <w:highlight w:val="none"/>
        </w:rPr>
      </w:pPr>
      <w:r>
        <w:rPr>
          <w:rFonts w:hint="eastAsia" w:cs="Times New Roman"/>
          <w:color w:val="auto"/>
          <w:sz w:val="21"/>
          <w:highlight w:val="none"/>
          <w:lang w:val="en-US" w:eastAsia="zh-CN" w:bidi="ar-SA"/>
        </w:rPr>
        <w:t>在保障功能性的前提下，适度融入品牌视觉与体验设计元素，提升产品辨识度与拼装价值感。</w:t>
      </w:r>
    </w:p>
    <w:p w14:paraId="0BF49A11">
      <w:pPr>
        <w:pStyle w:val="106"/>
        <w:bidi w:val="0"/>
        <w:rPr>
          <w:color w:val="auto"/>
          <w:highlight w:val="none"/>
        </w:rPr>
      </w:pPr>
      <w:bookmarkStart w:id="80" w:name="_Toc27314"/>
      <w:bookmarkStart w:id="81" w:name="_Toc28908"/>
      <w:bookmarkStart w:id="82" w:name="_Toc2089"/>
      <w:bookmarkStart w:id="83" w:name="_Toc26392"/>
      <w:r>
        <w:rPr>
          <w:rFonts w:hint="eastAsia"/>
          <w:color w:val="auto"/>
          <w:highlight w:val="none"/>
        </w:rPr>
        <w:t>内容构成</w:t>
      </w:r>
      <w:bookmarkEnd w:id="80"/>
      <w:bookmarkEnd w:id="81"/>
      <w:bookmarkEnd w:id="82"/>
      <w:bookmarkEnd w:id="83"/>
    </w:p>
    <w:p w14:paraId="3B8BB6D7">
      <w:pPr>
        <w:pStyle w:val="58"/>
        <w:ind w:firstLine="420"/>
        <w:rPr>
          <w:rFonts w:hint="eastAsia" w:ascii="宋体" w:hAnsi="宋体" w:eastAsia="宋体" w:cs="宋体"/>
          <w:color w:val="auto"/>
          <w:sz w:val="21"/>
          <w:highlight w:val="none"/>
          <w:lang w:val="en-US" w:eastAsia="zh-CN" w:bidi="ar-SA"/>
        </w:rPr>
      </w:pPr>
      <w:r>
        <w:rPr>
          <w:rFonts w:hint="eastAsia" w:ascii="宋体" w:hAnsi="宋体" w:eastAsia="宋体" w:cs="宋体"/>
          <w:color w:val="auto"/>
          <w:sz w:val="21"/>
          <w:highlight w:val="none"/>
          <w:lang w:val="en-US" w:eastAsia="zh-CN" w:bidi="ar-SA"/>
        </w:rPr>
        <w:t>说明书宜参照</w:t>
      </w:r>
      <w:r>
        <w:rPr>
          <w:rFonts w:hint="eastAsia" w:ascii="宋体" w:hAnsi="宋体" w:eastAsia="宋体" w:cs="宋体"/>
          <w:color w:val="auto"/>
          <w:highlight w:val="none"/>
          <w:lang w:val="en-US" w:eastAsia="zh-CN"/>
        </w:rPr>
        <w:t>GB/T 5296.5和</w:t>
      </w:r>
      <w:r>
        <w:rPr>
          <w:rFonts w:hint="eastAsia" w:ascii="宋体" w:hAnsi="宋体" w:eastAsia="宋体" w:cs="宋体"/>
          <w:color w:val="auto"/>
          <w:highlight w:val="none"/>
          <w:lang w:eastAsia="zh-CN"/>
        </w:rPr>
        <w:t>GB/T 19678.1</w:t>
      </w:r>
      <w:r>
        <w:rPr>
          <w:rFonts w:hint="eastAsia" w:ascii="宋体" w:hAnsi="宋体" w:eastAsia="宋体" w:cs="宋体"/>
          <w:color w:val="auto"/>
          <w:highlight w:val="none"/>
          <w:lang w:val="en-US" w:eastAsia="zh-CN"/>
        </w:rPr>
        <w:t>的要求进行编制，</w:t>
      </w:r>
      <w:r>
        <w:rPr>
          <w:rFonts w:hint="eastAsia" w:ascii="宋体" w:hAnsi="宋体" w:eastAsia="宋体" w:cs="宋体"/>
          <w:color w:val="auto"/>
          <w:sz w:val="21"/>
          <w:highlight w:val="none"/>
          <w:lang w:val="en-US" w:eastAsia="zh-CN" w:bidi="ar-SA"/>
        </w:rPr>
        <w:t>包括但不限于：</w:t>
      </w:r>
    </w:p>
    <w:p w14:paraId="0D341B1E">
      <w:pPr>
        <w:pStyle w:val="107"/>
        <w:bidi w:val="0"/>
        <w:rPr>
          <w:rFonts w:hint="eastAsia"/>
          <w:color w:val="auto"/>
          <w:highlight w:val="none"/>
          <w:lang w:val="en-US" w:eastAsia="zh-CN"/>
        </w:rPr>
      </w:pPr>
      <w:bookmarkStart w:id="84" w:name="_Toc16831"/>
      <w:bookmarkStart w:id="85" w:name="_Toc7438"/>
      <w:bookmarkStart w:id="86" w:name="_Toc4811"/>
      <w:bookmarkStart w:id="87" w:name="_Toc27307"/>
      <w:r>
        <w:rPr>
          <w:rFonts w:hint="eastAsia"/>
          <w:color w:val="auto"/>
          <w:highlight w:val="none"/>
          <w:lang w:val="en-US" w:eastAsia="zh-CN"/>
        </w:rPr>
        <w:t>封面/封底</w:t>
      </w:r>
      <w:bookmarkEnd w:id="84"/>
      <w:bookmarkEnd w:id="85"/>
      <w:bookmarkEnd w:id="86"/>
      <w:bookmarkEnd w:id="87"/>
    </w:p>
    <w:p w14:paraId="17C01795">
      <w:pPr>
        <w:pStyle w:val="58"/>
        <w:rPr>
          <w:rFonts w:hint="default"/>
          <w:color w:val="auto"/>
          <w:highlight w:val="none"/>
          <w:lang w:val="en-US" w:eastAsia="zh-CN"/>
        </w:rPr>
      </w:pPr>
      <w:r>
        <w:rPr>
          <w:rFonts w:hint="eastAsia"/>
          <w:color w:val="auto"/>
          <w:highlight w:val="none"/>
          <w:lang w:val="en-US" w:eastAsia="zh-CN"/>
        </w:rPr>
        <w:t>说明书的封面和封底的内容，包括但不限于：</w:t>
      </w:r>
    </w:p>
    <w:p w14:paraId="2FE5C55B">
      <w:pPr>
        <w:pStyle w:val="134"/>
        <w:bidi w:val="0"/>
        <w:rPr>
          <w:rFonts w:hint="eastAsia"/>
          <w:color w:val="auto"/>
          <w:highlight w:val="none"/>
          <w:lang w:val="en-US" w:eastAsia="zh-CN"/>
        </w:rPr>
      </w:pPr>
      <w:r>
        <w:rPr>
          <w:rFonts w:hint="eastAsia"/>
          <w:color w:val="auto"/>
          <w:highlight w:val="none"/>
          <w:lang w:val="en-US" w:eastAsia="zh-CN"/>
        </w:rPr>
        <w:t>成品展示；</w:t>
      </w:r>
    </w:p>
    <w:p w14:paraId="546076B9">
      <w:pPr>
        <w:pStyle w:val="134"/>
        <w:bidi w:val="0"/>
        <w:rPr>
          <w:rFonts w:hint="eastAsia"/>
          <w:color w:val="auto"/>
          <w:highlight w:val="none"/>
          <w:lang w:val="en-US" w:eastAsia="zh-CN"/>
        </w:rPr>
      </w:pPr>
      <w:r>
        <w:rPr>
          <w:rFonts w:hint="eastAsia"/>
          <w:color w:val="auto"/>
          <w:highlight w:val="none"/>
          <w:lang w:val="en-US" w:eastAsia="zh-CN"/>
        </w:rPr>
        <w:t>品牌信息；</w:t>
      </w:r>
    </w:p>
    <w:p w14:paraId="645CD399">
      <w:pPr>
        <w:pStyle w:val="134"/>
        <w:bidi w:val="0"/>
        <w:rPr>
          <w:rFonts w:hint="eastAsia"/>
          <w:color w:val="auto"/>
          <w:highlight w:val="none"/>
          <w:lang w:val="en-US" w:eastAsia="zh-CN"/>
        </w:rPr>
      </w:pPr>
      <w:r>
        <w:rPr>
          <w:rFonts w:hint="eastAsia"/>
          <w:color w:val="auto"/>
          <w:highlight w:val="none"/>
          <w:lang w:val="en-US" w:eastAsia="zh-CN"/>
        </w:rPr>
        <w:t>产品名称、编号、系列；</w:t>
      </w:r>
    </w:p>
    <w:p w14:paraId="739675AC">
      <w:pPr>
        <w:pStyle w:val="134"/>
        <w:bidi w:val="0"/>
        <w:rPr>
          <w:rFonts w:hint="eastAsia"/>
          <w:color w:val="auto"/>
          <w:highlight w:val="none"/>
          <w:lang w:val="en-US" w:eastAsia="zh-CN"/>
        </w:rPr>
      </w:pPr>
      <w:r>
        <w:rPr>
          <w:rFonts w:hint="eastAsia"/>
          <w:color w:val="auto"/>
          <w:highlight w:val="none"/>
          <w:lang w:val="en-US" w:eastAsia="zh-CN"/>
        </w:rPr>
        <w:t>适用年龄；</w:t>
      </w:r>
    </w:p>
    <w:p w14:paraId="307E22BE">
      <w:pPr>
        <w:pStyle w:val="134"/>
        <w:bidi w:val="0"/>
        <w:rPr>
          <w:rFonts w:hint="eastAsia"/>
          <w:color w:val="auto"/>
          <w:highlight w:val="none"/>
          <w:lang w:val="en-US" w:eastAsia="zh-CN"/>
        </w:rPr>
      </w:pPr>
      <w:r>
        <w:rPr>
          <w:rFonts w:hint="eastAsia"/>
          <w:color w:val="auto"/>
          <w:highlight w:val="none"/>
          <w:lang w:val="en-US" w:eastAsia="zh-CN"/>
        </w:rPr>
        <w:t>积木件数；</w:t>
      </w:r>
    </w:p>
    <w:p w14:paraId="650A6941">
      <w:pPr>
        <w:pStyle w:val="134"/>
        <w:bidi w:val="0"/>
        <w:rPr>
          <w:rFonts w:hint="eastAsia"/>
          <w:color w:val="auto"/>
          <w:highlight w:val="none"/>
          <w:lang w:val="en-US" w:eastAsia="zh-CN"/>
        </w:rPr>
      </w:pPr>
      <w:r>
        <w:rPr>
          <w:rFonts w:hint="eastAsia"/>
          <w:color w:val="auto"/>
          <w:highlight w:val="none"/>
          <w:lang w:val="en-US" w:eastAsia="zh-CN"/>
        </w:rPr>
        <w:t>分包册编号。</w:t>
      </w:r>
    </w:p>
    <w:p w14:paraId="043D9267">
      <w:pPr>
        <w:pStyle w:val="107"/>
        <w:bidi w:val="0"/>
        <w:rPr>
          <w:rFonts w:hint="eastAsia"/>
          <w:color w:val="auto"/>
          <w:highlight w:val="none"/>
          <w:lang w:val="en-US" w:eastAsia="zh-CN"/>
        </w:rPr>
      </w:pPr>
      <w:bookmarkStart w:id="88" w:name="_Toc18714"/>
      <w:bookmarkStart w:id="89" w:name="_Toc12593"/>
      <w:bookmarkStart w:id="90" w:name="_Toc32611"/>
      <w:bookmarkStart w:id="91" w:name="_Toc27105"/>
      <w:r>
        <w:rPr>
          <w:rFonts w:hint="eastAsia"/>
          <w:color w:val="auto"/>
          <w:highlight w:val="none"/>
          <w:lang w:val="en-US" w:eastAsia="zh-CN"/>
        </w:rPr>
        <w:t>概述指引</w:t>
      </w:r>
      <w:bookmarkEnd w:id="88"/>
      <w:bookmarkEnd w:id="89"/>
      <w:bookmarkEnd w:id="90"/>
      <w:bookmarkEnd w:id="91"/>
    </w:p>
    <w:p w14:paraId="78CBE4E8">
      <w:pPr>
        <w:pStyle w:val="58"/>
        <w:rPr>
          <w:rFonts w:hint="default"/>
          <w:color w:val="auto"/>
          <w:highlight w:val="none"/>
          <w:lang w:val="en-US" w:eastAsia="zh-CN"/>
        </w:rPr>
      </w:pPr>
      <w:r>
        <w:rPr>
          <w:rFonts w:hint="eastAsia"/>
          <w:color w:val="auto"/>
          <w:highlight w:val="none"/>
          <w:lang w:val="en-US" w:eastAsia="zh-CN"/>
        </w:rPr>
        <w:t>说明书总体概述及指引的内容，包括但不限于：</w:t>
      </w:r>
    </w:p>
    <w:p w14:paraId="60AEDBE0">
      <w:pPr>
        <w:pStyle w:val="134"/>
        <w:bidi w:val="0"/>
        <w:rPr>
          <w:rFonts w:hint="eastAsia"/>
          <w:color w:val="auto"/>
          <w:highlight w:val="none"/>
          <w:lang w:val="en-US" w:eastAsia="zh-CN"/>
        </w:rPr>
      </w:pPr>
      <w:r>
        <w:rPr>
          <w:rFonts w:hint="eastAsia"/>
          <w:color w:val="auto"/>
          <w:highlight w:val="none"/>
          <w:lang w:val="en-US" w:eastAsia="zh-CN"/>
        </w:rPr>
        <w:t>故事及背景；</w:t>
      </w:r>
    </w:p>
    <w:p w14:paraId="714A8FBF">
      <w:pPr>
        <w:pStyle w:val="134"/>
        <w:bidi w:val="0"/>
        <w:rPr>
          <w:rFonts w:hint="eastAsia"/>
          <w:color w:val="auto"/>
          <w:highlight w:val="none"/>
          <w:lang w:val="en-US" w:eastAsia="zh-CN"/>
        </w:rPr>
      </w:pPr>
      <w:r>
        <w:rPr>
          <w:rFonts w:hint="eastAsia"/>
          <w:color w:val="auto"/>
          <w:highlight w:val="none"/>
          <w:lang w:val="en-US" w:eastAsia="zh-CN"/>
        </w:rPr>
        <w:t>总体拼装指引；</w:t>
      </w:r>
    </w:p>
    <w:p w14:paraId="3715FE7A">
      <w:pPr>
        <w:pStyle w:val="134"/>
        <w:bidi w:val="0"/>
        <w:rPr>
          <w:rFonts w:hint="eastAsia"/>
          <w:color w:val="auto"/>
          <w:highlight w:val="none"/>
          <w:lang w:val="en-US" w:eastAsia="zh-CN"/>
        </w:rPr>
      </w:pPr>
      <w:r>
        <w:rPr>
          <w:rFonts w:hint="eastAsia"/>
          <w:color w:val="auto"/>
          <w:highlight w:val="none"/>
          <w:lang w:val="en-US" w:eastAsia="zh-CN"/>
        </w:rPr>
        <w:t>品牌简介及注意事项；</w:t>
      </w:r>
    </w:p>
    <w:p w14:paraId="179EA0B3">
      <w:pPr>
        <w:pStyle w:val="134"/>
        <w:bidi w:val="0"/>
        <w:rPr>
          <w:rFonts w:hint="eastAsia"/>
          <w:color w:val="auto"/>
          <w:highlight w:val="none"/>
          <w:lang w:val="en-US" w:eastAsia="zh-CN"/>
        </w:rPr>
      </w:pPr>
      <w:r>
        <w:rPr>
          <w:rFonts w:hint="eastAsia"/>
          <w:color w:val="auto"/>
          <w:highlight w:val="none"/>
          <w:lang w:val="en-US" w:eastAsia="zh-CN"/>
        </w:rPr>
        <w:t>成品、玩法及细节展示；</w:t>
      </w:r>
    </w:p>
    <w:p w14:paraId="7D8C566C">
      <w:pPr>
        <w:pStyle w:val="134"/>
        <w:bidi w:val="0"/>
        <w:rPr>
          <w:rFonts w:hint="eastAsia"/>
          <w:color w:val="auto"/>
          <w:highlight w:val="none"/>
          <w:lang w:val="en-US" w:eastAsia="zh-CN"/>
        </w:rPr>
      </w:pPr>
      <w:r>
        <w:rPr>
          <w:rFonts w:hint="eastAsia"/>
          <w:color w:val="auto"/>
          <w:highlight w:val="none"/>
          <w:lang w:val="en-US" w:eastAsia="zh-CN"/>
        </w:rPr>
        <w:t>特殊零件/组件说明。</w:t>
      </w:r>
    </w:p>
    <w:p w14:paraId="5CCAA1A1">
      <w:pPr>
        <w:pStyle w:val="107"/>
        <w:bidi w:val="0"/>
        <w:rPr>
          <w:rFonts w:hint="eastAsia"/>
          <w:color w:val="auto"/>
          <w:highlight w:val="none"/>
          <w:lang w:val="en-US" w:eastAsia="zh-CN"/>
        </w:rPr>
      </w:pPr>
      <w:bookmarkStart w:id="92" w:name="_Toc7204"/>
      <w:bookmarkStart w:id="93" w:name="_Toc28697"/>
      <w:bookmarkStart w:id="94" w:name="_Toc23835"/>
      <w:bookmarkStart w:id="95" w:name="_Toc3886"/>
      <w:r>
        <w:rPr>
          <w:rFonts w:hint="eastAsia"/>
          <w:color w:val="auto"/>
          <w:highlight w:val="none"/>
          <w:lang w:val="en-US" w:eastAsia="zh-CN"/>
        </w:rPr>
        <w:t>拼装步骤</w:t>
      </w:r>
      <w:bookmarkEnd w:id="92"/>
      <w:bookmarkEnd w:id="93"/>
      <w:bookmarkEnd w:id="94"/>
      <w:bookmarkEnd w:id="95"/>
    </w:p>
    <w:p w14:paraId="24AB9C28">
      <w:pPr>
        <w:pStyle w:val="58"/>
        <w:ind w:firstLine="420"/>
        <w:rPr>
          <w:rFonts w:hint="eastAsia" w:ascii="宋体" w:hAnsi="宋体" w:eastAsia="宋体" w:cs="宋体"/>
          <w:color w:val="auto"/>
          <w:sz w:val="21"/>
          <w:highlight w:val="none"/>
          <w:lang w:val="en-US" w:eastAsia="zh-CN" w:bidi="ar-SA"/>
        </w:rPr>
      </w:pPr>
      <w:r>
        <w:rPr>
          <w:rFonts w:hint="eastAsia" w:ascii="宋体" w:hAnsi="宋体" w:eastAsia="宋体" w:cs="宋体"/>
          <w:color w:val="auto"/>
          <w:sz w:val="21"/>
          <w:highlight w:val="none"/>
          <w:lang w:val="en-US" w:eastAsia="zh-CN" w:bidi="ar-SA"/>
        </w:rPr>
        <w:t>拼装步骤是说明书的核心主体，其页数占比宜达90%以上。单个步骤中涉及的零件种类不宜超过5种（同种零件可包含多个），以降低取件与识别难度，避免因步骤合并过多而影响新手的拼装体验和准确性。相关拼装图形示例参见附录A。</w:t>
      </w:r>
    </w:p>
    <w:p w14:paraId="29E600DC">
      <w:pPr>
        <w:pStyle w:val="107"/>
        <w:bidi w:val="0"/>
        <w:rPr>
          <w:rFonts w:hint="eastAsia"/>
          <w:color w:val="auto"/>
          <w:highlight w:val="none"/>
          <w:lang w:val="en-US" w:eastAsia="zh-CN"/>
        </w:rPr>
      </w:pPr>
      <w:bookmarkStart w:id="96" w:name="_Toc1093"/>
      <w:bookmarkStart w:id="97" w:name="_Toc11732"/>
      <w:bookmarkStart w:id="98" w:name="_Toc11643"/>
      <w:bookmarkStart w:id="99" w:name="_Toc16821"/>
      <w:r>
        <w:rPr>
          <w:rFonts w:hint="eastAsia"/>
          <w:color w:val="auto"/>
          <w:highlight w:val="none"/>
          <w:lang w:val="en-US" w:eastAsia="zh-CN"/>
        </w:rPr>
        <w:t>积木清单及售后信息</w:t>
      </w:r>
      <w:bookmarkEnd w:id="96"/>
      <w:bookmarkEnd w:id="97"/>
      <w:bookmarkEnd w:id="98"/>
      <w:bookmarkEnd w:id="99"/>
    </w:p>
    <w:p w14:paraId="7E6BD460">
      <w:pPr>
        <w:pStyle w:val="58"/>
        <w:rPr>
          <w:rFonts w:hint="default"/>
          <w:color w:val="auto"/>
          <w:highlight w:val="none"/>
          <w:lang w:val="en-US" w:eastAsia="zh-CN"/>
        </w:rPr>
      </w:pPr>
      <w:r>
        <w:rPr>
          <w:rFonts w:hint="eastAsia"/>
          <w:color w:val="auto"/>
          <w:highlight w:val="none"/>
          <w:lang w:val="en-US" w:eastAsia="zh-CN"/>
        </w:rPr>
        <w:t>积木清单及售后服务的内容，包括但不限于：</w:t>
      </w:r>
    </w:p>
    <w:p w14:paraId="7A667A4D">
      <w:pPr>
        <w:pStyle w:val="134"/>
        <w:bidi w:val="0"/>
        <w:rPr>
          <w:rFonts w:hint="eastAsia"/>
          <w:color w:val="auto"/>
          <w:highlight w:val="none"/>
          <w:lang w:val="en-US" w:eastAsia="zh-CN"/>
        </w:rPr>
      </w:pPr>
      <w:r>
        <w:rPr>
          <w:rFonts w:hint="eastAsia"/>
          <w:color w:val="auto"/>
          <w:highlight w:val="none"/>
          <w:lang w:val="en-US" w:eastAsia="zh-CN"/>
        </w:rPr>
        <w:t>积木清单：列出全部积木编号、颜色、数量及对应图示；</w:t>
      </w:r>
    </w:p>
    <w:p w14:paraId="4F49FEB3">
      <w:pPr>
        <w:pStyle w:val="134"/>
        <w:bidi w:val="0"/>
        <w:rPr>
          <w:rFonts w:hint="eastAsia"/>
          <w:color w:val="auto"/>
          <w:highlight w:val="none"/>
          <w:lang w:val="en-US" w:eastAsia="zh-CN"/>
        </w:rPr>
      </w:pPr>
      <w:r>
        <w:rPr>
          <w:rFonts w:hint="default"/>
          <w:color w:val="auto"/>
          <w:highlight w:val="none"/>
          <w:lang w:val="en-US" w:eastAsia="zh-CN"/>
        </w:rPr>
        <w:t>补件说明：</w:t>
      </w:r>
      <w:r>
        <w:rPr>
          <w:rFonts w:hint="eastAsia"/>
          <w:color w:val="auto"/>
          <w:highlight w:val="none"/>
          <w:lang w:val="en-US" w:eastAsia="zh-CN"/>
        </w:rPr>
        <w:t>告知可通过品牌公众号或小程序等渠道申请补发；</w:t>
      </w:r>
    </w:p>
    <w:p w14:paraId="3B1D5F72">
      <w:pPr>
        <w:pStyle w:val="134"/>
        <w:bidi w:val="0"/>
        <w:rPr>
          <w:rFonts w:hint="eastAsia"/>
          <w:color w:val="auto"/>
          <w:highlight w:val="none"/>
          <w:lang w:val="en-US" w:eastAsia="zh-CN"/>
        </w:rPr>
      </w:pPr>
      <w:r>
        <w:rPr>
          <w:rFonts w:hint="eastAsia"/>
          <w:color w:val="auto"/>
          <w:highlight w:val="none"/>
          <w:lang w:val="en-US" w:eastAsia="zh-CN"/>
        </w:rPr>
        <w:t>使用反馈及其他售后信息。</w:t>
      </w:r>
    </w:p>
    <w:p w14:paraId="6EB736EA">
      <w:pPr>
        <w:pStyle w:val="106"/>
        <w:bidi w:val="0"/>
        <w:rPr>
          <w:rFonts w:hint="eastAsia"/>
          <w:color w:val="auto"/>
          <w:highlight w:val="none"/>
          <w:lang w:val="en-US" w:eastAsia="zh-CN"/>
        </w:rPr>
      </w:pPr>
      <w:bookmarkStart w:id="100" w:name="_Toc26440"/>
      <w:bookmarkStart w:id="101" w:name="_Toc759"/>
      <w:bookmarkStart w:id="102" w:name="_Toc14200"/>
      <w:bookmarkStart w:id="103" w:name="_Toc5523"/>
      <w:r>
        <w:rPr>
          <w:rFonts w:hint="eastAsia"/>
          <w:color w:val="auto"/>
          <w:highlight w:val="none"/>
          <w:lang w:val="en-US" w:eastAsia="zh-CN"/>
        </w:rPr>
        <w:t>视觉元素</w:t>
      </w:r>
      <w:bookmarkEnd w:id="100"/>
      <w:bookmarkEnd w:id="101"/>
      <w:bookmarkEnd w:id="102"/>
      <w:bookmarkEnd w:id="103"/>
    </w:p>
    <w:p w14:paraId="6A52C096">
      <w:pPr>
        <w:pStyle w:val="107"/>
        <w:bidi w:val="0"/>
        <w:rPr>
          <w:rFonts w:hint="eastAsia"/>
          <w:color w:val="auto"/>
          <w:highlight w:val="none"/>
          <w:lang w:val="en-US" w:eastAsia="zh-CN"/>
        </w:rPr>
      </w:pPr>
      <w:bookmarkStart w:id="104" w:name="_Toc27952"/>
      <w:bookmarkStart w:id="105" w:name="_Toc30609"/>
      <w:bookmarkStart w:id="106" w:name="_Toc25643"/>
      <w:bookmarkStart w:id="107" w:name="_Toc9675"/>
      <w:r>
        <w:rPr>
          <w:rFonts w:hint="eastAsia"/>
          <w:color w:val="auto"/>
          <w:highlight w:val="none"/>
          <w:lang w:val="en-US" w:eastAsia="zh-CN"/>
        </w:rPr>
        <w:t>图形</w:t>
      </w:r>
      <w:bookmarkEnd w:id="104"/>
      <w:bookmarkEnd w:id="105"/>
      <w:bookmarkEnd w:id="106"/>
      <w:bookmarkEnd w:id="107"/>
    </w:p>
    <w:p w14:paraId="7AA6F9AD">
      <w:pPr>
        <w:pStyle w:val="67"/>
        <w:bidi w:val="0"/>
        <w:rPr>
          <w:rFonts w:hint="eastAsia"/>
          <w:color w:val="auto"/>
          <w:highlight w:val="none"/>
          <w:lang w:val="en-US" w:eastAsia="zh-CN"/>
        </w:rPr>
      </w:pPr>
      <w:r>
        <w:rPr>
          <w:rFonts w:hint="eastAsia"/>
          <w:color w:val="auto"/>
          <w:highlight w:val="none"/>
          <w:lang w:val="en-US" w:eastAsia="zh-CN"/>
        </w:rPr>
        <w:t>45°等距视角</w:t>
      </w:r>
    </w:p>
    <w:p w14:paraId="17DEE32E">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所有积木零件及模型在</w:t>
      </w:r>
      <w:r>
        <w:rPr>
          <w:rFonts w:hint="eastAsia" w:ascii="宋体" w:hAnsi="宋体" w:eastAsia="宋体" w:cs="宋体"/>
          <w:color w:val="auto"/>
          <w:sz w:val="21"/>
          <w:highlight w:val="none"/>
          <w:lang w:val="en-US" w:eastAsia="zh-CN" w:bidi="ar-SA"/>
        </w:rPr>
        <w:t>步骤</w:t>
      </w:r>
      <w:r>
        <w:rPr>
          <w:rFonts w:hint="eastAsia" w:ascii="宋体" w:hAnsi="宋体" w:eastAsia="宋体" w:cs="宋体"/>
          <w:color w:val="auto"/>
          <w:highlight w:val="none"/>
          <w:lang w:val="en-US" w:eastAsia="zh-CN"/>
        </w:rPr>
        <w:t>图中均以45°等距视角统一呈现，保持三面可见，确保连接关系与空间位置表达准确一致。</w:t>
      </w:r>
    </w:p>
    <w:p w14:paraId="1A6E83B3">
      <w:pPr>
        <w:pStyle w:val="67"/>
        <w:bidi w:val="0"/>
        <w:rPr>
          <w:rFonts w:hint="eastAsia"/>
          <w:color w:val="auto"/>
          <w:highlight w:val="none"/>
          <w:lang w:val="en-US" w:eastAsia="zh-CN"/>
        </w:rPr>
      </w:pPr>
      <w:r>
        <w:rPr>
          <w:rFonts w:hint="eastAsia"/>
          <w:color w:val="auto"/>
          <w:highlight w:val="none"/>
          <w:lang w:val="en-US" w:eastAsia="zh-CN"/>
        </w:rPr>
        <w:t>主图</w:t>
      </w:r>
    </w:p>
    <w:p w14:paraId="6772B066">
      <w:pPr>
        <w:pStyle w:val="58"/>
        <w:ind w:firstLine="420"/>
        <w:rPr>
          <w:rFonts w:hint="eastAsia"/>
          <w:color w:val="auto"/>
          <w:highlight w:val="none"/>
          <w:lang w:val="en-US" w:eastAsia="zh-CN"/>
        </w:rPr>
      </w:pPr>
      <w:r>
        <w:rPr>
          <w:rFonts w:hint="eastAsia"/>
          <w:color w:val="auto"/>
          <w:highlight w:val="none"/>
          <w:lang w:val="en-US" w:eastAsia="zh-CN"/>
        </w:rPr>
        <w:t>用于展示本步骤</w:t>
      </w:r>
      <w:r>
        <w:rPr>
          <w:rFonts w:hint="eastAsia" w:cs="Times New Roman"/>
          <w:color w:val="auto"/>
          <w:sz w:val="21"/>
          <w:highlight w:val="none"/>
          <w:lang w:val="en-US" w:eastAsia="zh-CN" w:bidi="ar-SA"/>
        </w:rPr>
        <w:t>拼装</w:t>
      </w:r>
      <w:r>
        <w:rPr>
          <w:rFonts w:hint="eastAsia"/>
          <w:color w:val="auto"/>
          <w:highlight w:val="none"/>
          <w:lang w:val="en-US" w:eastAsia="zh-CN"/>
        </w:rPr>
        <w:t>完成后模型状态的核心图示，是每一步骤的视觉焦点，清晰呈现所有新增零件与既有结构的连接关系。</w:t>
      </w:r>
    </w:p>
    <w:p w14:paraId="63930B27">
      <w:pPr>
        <w:pStyle w:val="67"/>
        <w:bidi w:val="0"/>
        <w:rPr>
          <w:rFonts w:hint="eastAsia"/>
          <w:color w:val="auto"/>
          <w:highlight w:val="none"/>
          <w:lang w:val="en-US" w:eastAsia="zh-CN"/>
        </w:rPr>
      </w:pPr>
      <w:r>
        <w:rPr>
          <w:rFonts w:hint="eastAsia"/>
          <w:color w:val="auto"/>
          <w:highlight w:val="none"/>
          <w:lang w:val="en-US" w:eastAsia="zh-CN"/>
        </w:rPr>
        <w:t>小图</w:t>
      </w:r>
    </w:p>
    <w:p w14:paraId="30AFBCE2">
      <w:pPr>
        <w:pStyle w:val="58"/>
        <w:ind w:firstLine="420"/>
        <w:rPr>
          <w:rFonts w:hint="eastAsia"/>
          <w:color w:val="auto"/>
          <w:highlight w:val="none"/>
          <w:lang w:val="en-US" w:eastAsia="zh-CN"/>
        </w:rPr>
      </w:pPr>
      <w:r>
        <w:rPr>
          <w:rFonts w:hint="eastAsia"/>
          <w:color w:val="auto"/>
          <w:highlight w:val="none"/>
          <w:lang w:val="en-US" w:eastAsia="zh-CN"/>
        </w:rPr>
        <w:t>用于展示需先预拼为子组件、再整体安装至主模型的局部结构，宜置于主图附近并配合指引线或编号标明安装位置。</w:t>
      </w:r>
    </w:p>
    <w:p w14:paraId="66C122F8">
      <w:pPr>
        <w:pStyle w:val="67"/>
        <w:bidi w:val="0"/>
        <w:rPr>
          <w:rFonts w:hint="eastAsia"/>
          <w:color w:val="auto"/>
          <w:highlight w:val="none"/>
          <w:lang w:val="en-US" w:eastAsia="zh-CN"/>
        </w:rPr>
      </w:pPr>
      <w:r>
        <w:rPr>
          <w:rFonts w:hint="eastAsia"/>
          <w:color w:val="auto"/>
          <w:highlight w:val="none"/>
          <w:lang w:val="en-US" w:eastAsia="zh-CN"/>
        </w:rPr>
        <w:t>零件提示区</w:t>
      </w:r>
    </w:p>
    <w:p w14:paraId="2D6F36C9">
      <w:pPr>
        <w:pStyle w:val="58"/>
        <w:ind w:firstLine="420"/>
        <w:rPr>
          <w:rFonts w:hint="eastAsia"/>
          <w:color w:val="auto"/>
          <w:highlight w:val="none"/>
          <w:lang w:val="en-US" w:eastAsia="zh-CN"/>
        </w:rPr>
      </w:pPr>
      <w:r>
        <w:rPr>
          <w:rFonts w:hint="eastAsia"/>
          <w:color w:val="auto"/>
          <w:highlight w:val="none"/>
          <w:lang w:val="en-US" w:eastAsia="zh-CN"/>
        </w:rPr>
        <w:t>宜以白底、蓝底等底色突出显示</w:t>
      </w:r>
      <w:r>
        <w:rPr>
          <w:rFonts w:hint="eastAsia" w:ascii="Times New Roman" w:hAnsi="Times New Roman" w:eastAsia="宋体" w:cs="Times New Roman"/>
          <w:color w:val="auto"/>
          <w:sz w:val="21"/>
          <w:highlight w:val="none"/>
          <w:lang w:val="en-US" w:eastAsia="zh-CN" w:bidi="ar-SA"/>
        </w:rPr>
        <w:t>该</w:t>
      </w:r>
      <w:r>
        <w:rPr>
          <w:rFonts w:hint="eastAsia" w:cs="Times New Roman"/>
          <w:color w:val="auto"/>
          <w:sz w:val="21"/>
          <w:highlight w:val="none"/>
          <w:lang w:val="en-US" w:eastAsia="zh-CN" w:bidi="ar-SA"/>
        </w:rPr>
        <w:t>步骤</w:t>
      </w:r>
      <w:r>
        <w:rPr>
          <w:rFonts w:hint="eastAsia"/>
          <w:color w:val="auto"/>
          <w:highlight w:val="none"/>
          <w:lang w:val="en-US" w:eastAsia="zh-CN"/>
        </w:rPr>
        <w:t>所需零件的图示，用于辅助用户快速取件与核对，颜色与实物一致。</w:t>
      </w:r>
    </w:p>
    <w:p w14:paraId="2B0D63FA">
      <w:pPr>
        <w:pStyle w:val="67"/>
        <w:bidi w:val="0"/>
        <w:rPr>
          <w:rFonts w:hint="eastAsia"/>
          <w:color w:val="auto"/>
          <w:highlight w:val="none"/>
          <w:lang w:val="en-US" w:eastAsia="zh-CN"/>
        </w:rPr>
      </w:pPr>
      <w:r>
        <w:rPr>
          <w:rFonts w:hint="eastAsia"/>
          <w:color w:val="auto"/>
          <w:highlight w:val="none"/>
          <w:lang w:val="en-US" w:eastAsia="zh-CN"/>
        </w:rPr>
        <w:t>轮廓线</w:t>
      </w:r>
    </w:p>
    <w:p w14:paraId="1341AF9D">
      <w:pPr>
        <w:pStyle w:val="58"/>
        <w:ind w:firstLine="420"/>
        <w:rPr>
          <w:rFonts w:hint="eastAsia"/>
          <w:color w:val="auto"/>
          <w:highlight w:val="none"/>
          <w:lang w:val="en-US" w:eastAsia="zh-CN"/>
        </w:rPr>
      </w:pPr>
      <w:r>
        <w:rPr>
          <w:rFonts w:hint="eastAsia"/>
          <w:color w:val="auto"/>
          <w:highlight w:val="none"/>
          <w:lang w:val="en-US" w:eastAsia="zh-CN"/>
        </w:rPr>
        <w:t>宜采用红色、黄色、绿色等显眼颜色，为当前步骤新增零件描边，突出安装位置，增强视觉引导。</w:t>
      </w:r>
    </w:p>
    <w:p w14:paraId="3BCEB6DF">
      <w:pPr>
        <w:pStyle w:val="67"/>
        <w:bidi w:val="0"/>
        <w:rPr>
          <w:rFonts w:hint="eastAsia"/>
          <w:color w:val="auto"/>
          <w:highlight w:val="none"/>
          <w:lang w:val="en-US" w:eastAsia="zh-CN"/>
        </w:rPr>
      </w:pPr>
      <w:r>
        <w:rPr>
          <w:rFonts w:hint="eastAsia"/>
          <w:color w:val="auto"/>
          <w:highlight w:val="none"/>
          <w:lang w:val="en-US" w:eastAsia="zh-CN"/>
        </w:rPr>
        <w:t>新旧零件区分</w:t>
      </w:r>
    </w:p>
    <w:p w14:paraId="4E130385">
      <w:pPr>
        <w:pStyle w:val="58"/>
        <w:ind w:firstLine="420"/>
        <w:rPr>
          <w:rFonts w:hint="eastAsia"/>
          <w:color w:val="auto"/>
          <w:highlight w:val="none"/>
          <w:lang w:val="en-US" w:eastAsia="zh-CN"/>
        </w:rPr>
      </w:pPr>
      <w:r>
        <w:rPr>
          <w:rFonts w:hint="eastAsia"/>
          <w:color w:val="auto"/>
          <w:highlight w:val="none"/>
          <w:lang w:val="en-US" w:eastAsia="zh-CN"/>
        </w:rPr>
        <w:t>当前步骤新增零件以高饱和色彩与显眼轮廓线呈现，已完成的旧结构以浅灰色或半透明淡化处理；当前操作区域宜用清晰的彩色边框标出，确保视觉焦点集中。</w:t>
      </w:r>
    </w:p>
    <w:p w14:paraId="6DB4CA51">
      <w:pPr>
        <w:pStyle w:val="67"/>
        <w:bidi w:val="0"/>
        <w:rPr>
          <w:rFonts w:hint="eastAsia"/>
          <w:color w:val="auto"/>
          <w:highlight w:val="none"/>
          <w:lang w:val="en-US" w:eastAsia="zh-CN"/>
        </w:rPr>
      </w:pPr>
      <w:r>
        <w:rPr>
          <w:rFonts w:hint="eastAsia"/>
          <w:color w:val="auto"/>
          <w:highlight w:val="none"/>
          <w:lang w:val="en-US" w:eastAsia="zh-CN"/>
        </w:rPr>
        <w:t>编号标注</w:t>
      </w:r>
    </w:p>
    <w:p w14:paraId="45C61A80">
      <w:pPr>
        <w:pStyle w:val="58"/>
        <w:ind w:firstLine="420"/>
        <w:rPr>
          <w:rFonts w:hint="eastAsia"/>
          <w:color w:val="auto"/>
          <w:highlight w:val="none"/>
          <w:lang w:val="en-US" w:eastAsia="zh-CN"/>
        </w:rPr>
      </w:pPr>
      <w:r>
        <w:rPr>
          <w:rFonts w:hint="eastAsia"/>
          <w:color w:val="auto"/>
          <w:highlight w:val="none"/>
          <w:lang w:val="en-US" w:eastAsia="zh-CN"/>
        </w:rPr>
        <w:t>关键或易混淆零件/组件宜标注编号，编号与零件清单/步骤对应，便于检索与核对。</w:t>
      </w:r>
    </w:p>
    <w:p w14:paraId="073B4EDC">
      <w:pPr>
        <w:pStyle w:val="67"/>
        <w:bidi w:val="0"/>
        <w:rPr>
          <w:rFonts w:hint="eastAsia"/>
          <w:color w:val="auto"/>
          <w:highlight w:val="none"/>
          <w:lang w:val="en-US" w:eastAsia="zh-CN"/>
        </w:rPr>
      </w:pPr>
      <w:r>
        <w:rPr>
          <w:rFonts w:hint="eastAsia"/>
          <w:color w:val="auto"/>
          <w:highlight w:val="none"/>
          <w:lang w:val="en-US" w:eastAsia="zh-CN"/>
        </w:rPr>
        <w:t>其他展示图</w:t>
      </w:r>
    </w:p>
    <w:p w14:paraId="62618950">
      <w:pPr>
        <w:pStyle w:val="58"/>
        <w:ind w:firstLine="420"/>
        <w:rPr>
          <w:rFonts w:hint="eastAsia"/>
          <w:color w:val="auto"/>
          <w:highlight w:val="none"/>
          <w:lang w:val="en-US" w:eastAsia="zh-CN"/>
        </w:rPr>
      </w:pPr>
      <w:r>
        <w:rPr>
          <w:rFonts w:hint="eastAsia"/>
          <w:color w:val="auto"/>
          <w:highlight w:val="none"/>
          <w:lang w:val="en-US" w:eastAsia="zh-CN"/>
        </w:rPr>
        <w:t>用于补充展示贴纸</w:t>
      </w:r>
      <w:r>
        <w:rPr>
          <w:rFonts w:hint="eastAsia" w:cs="Times New Roman"/>
          <w:color w:val="auto"/>
          <w:sz w:val="21"/>
          <w:highlight w:val="none"/>
          <w:lang w:val="en-US" w:eastAsia="zh-CN" w:bidi="ar-SA"/>
        </w:rPr>
        <w:t>使用</w:t>
      </w:r>
      <w:r>
        <w:rPr>
          <w:rFonts w:hint="eastAsia"/>
          <w:color w:val="auto"/>
          <w:highlight w:val="none"/>
          <w:lang w:val="en-US" w:eastAsia="zh-CN"/>
        </w:rPr>
        <w:t>提示、特殊零件细节或内部结构组装关系等，作为主图与小图的补充，辅助理解拼装细节。</w:t>
      </w:r>
    </w:p>
    <w:p w14:paraId="2682111E">
      <w:pPr>
        <w:pStyle w:val="107"/>
        <w:bidi w:val="0"/>
        <w:rPr>
          <w:rFonts w:hint="eastAsia"/>
          <w:color w:val="auto"/>
          <w:highlight w:val="none"/>
          <w:lang w:val="en-US" w:eastAsia="zh-CN"/>
        </w:rPr>
      </w:pPr>
      <w:bookmarkStart w:id="108" w:name="_Toc27708"/>
      <w:bookmarkStart w:id="109" w:name="_Toc30246"/>
      <w:bookmarkStart w:id="110" w:name="_Toc17090"/>
      <w:bookmarkStart w:id="111" w:name="_Toc14395"/>
      <w:r>
        <w:rPr>
          <w:rFonts w:hint="eastAsia"/>
          <w:color w:val="auto"/>
          <w:highlight w:val="none"/>
          <w:lang w:val="en-US" w:eastAsia="zh-CN"/>
        </w:rPr>
        <w:t>比例尺</w:t>
      </w:r>
      <w:bookmarkEnd w:id="108"/>
      <w:bookmarkEnd w:id="109"/>
      <w:bookmarkEnd w:id="110"/>
      <w:bookmarkEnd w:id="111"/>
    </w:p>
    <w:p w14:paraId="31197E1F">
      <w:pPr>
        <w:pStyle w:val="67"/>
        <w:bidi w:val="0"/>
        <w:rPr>
          <w:rFonts w:hint="eastAsia"/>
          <w:color w:val="auto"/>
          <w:highlight w:val="none"/>
          <w:lang w:val="en-US" w:eastAsia="zh-CN"/>
        </w:rPr>
      </w:pPr>
      <w:r>
        <w:rPr>
          <w:rFonts w:hint="eastAsia"/>
          <w:color w:val="auto"/>
          <w:highlight w:val="none"/>
          <w:lang w:val="en-US" w:eastAsia="zh-CN"/>
        </w:rPr>
        <w:t>设置原则</w:t>
      </w:r>
    </w:p>
    <w:p w14:paraId="56AD3936">
      <w:pPr>
        <w:pStyle w:val="58"/>
        <w:ind w:firstLine="420"/>
        <w:rPr>
          <w:rFonts w:hint="eastAsia"/>
          <w:color w:val="auto"/>
          <w:highlight w:val="none"/>
          <w:lang w:val="en-US" w:eastAsia="zh-CN"/>
        </w:rPr>
      </w:pPr>
      <w:r>
        <w:rPr>
          <w:rFonts w:hint="eastAsia"/>
          <w:color w:val="auto"/>
          <w:highlight w:val="none"/>
          <w:lang w:val="en-US" w:eastAsia="zh-CN"/>
        </w:rPr>
        <w:t>对易混淆或不易辨认的零件，宜设置实物比例尺，供用户直接比对实际尺寸，便于快速准确取件，减少误装。</w:t>
      </w:r>
    </w:p>
    <w:p w14:paraId="4906590F">
      <w:pPr>
        <w:pStyle w:val="67"/>
        <w:bidi w:val="0"/>
        <w:rPr>
          <w:rFonts w:hint="eastAsia"/>
          <w:color w:val="auto"/>
          <w:highlight w:val="none"/>
          <w:lang w:val="en-US" w:eastAsia="zh-CN"/>
        </w:rPr>
      </w:pPr>
      <w:r>
        <w:rPr>
          <w:rFonts w:hint="eastAsia"/>
          <w:color w:val="auto"/>
          <w:highlight w:val="none"/>
          <w:lang w:val="en-US" w:eastAsia="zh-CN"/>
        </w:rPr>
        <w:t>呈现形式</w:t>
      </w:r>
    </w:p>
    <w:p w14:paraId="46D7E105">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宜采用1∶1比例</w:t>
      </w:r>
      <w:r>
        <w:rPr>
          <w:rFonts w:hint="eastAsia" w:ascii="宋体" w:hAnsi="宋体" w:eastAsia="宋体" w:cs="宋体"/>
          <w:color w:val="auto"/>
          <w:sz w:val="21"/>
          <w:highlight w:val="none"/>
          <w:lang w:val="en-US" w:eastAsia="zh-CN" w:bidi="ar-SA"/>
        </w:rPr>
        <w:t>印制</w:t>
      </w:r>
      <w:r>
        <w:rPr>
          <w:rFonts w:hint="eastAsia" w:ascii="宋体" w:hAnsi="宋体" w:eastAsia="宋体" w:cs="宋体"/>
          <w:color w:val="auto"/>
          <w:highlight w:val="none"/>
          <w:lang w:val="en-US" w:eastAsia="zh-CN"/>
        </w:rPr>
        <w:t>，并须在比例尺旁清晰标注比例值，确保参照无误。</w:t>
      </w:r>
    </w:p>
    <w:p w14:paraId="34215EF5">
      <w:pPr>
        <w:pStyle w:val="107"/>
        <w:bidi w:val="0"/>
        <w:rPr>
          <w:rFonts w:hint="eastAsia"/>
          <w:color w:val="auto"/>
          <w:highlight w:val="none"/>
          <w:lang w:val="en-US" w:eastAsia="zh-CN"/>
        </w:rPr>
      </w:pPr>
      <w:bookmarkStart w:id="112" w:name="_Toc28617"/>
      <w:bookmarkStart w:id="113" w:name="_Toc16682"/>
      <w:bookmarkStart w:id="114" w:name="_Toc27481"/>
      <w:bookmarkStart w:id="115" w:name="_Toc12933"/>
      <w:r>
        <w:rPr>
          <w:rFonts w:hint="eastAsia"/>
          <w:color w:val="auto"/>
          <w:highlight w:val="none"/>
          <w:lang w:val="en-US" w:eastAsia="zh-CN"/>
        </w:rPr>
        <w:t>安全与警示</w:t>
      </w:r>
      <w:bookmarkEnd w:id="112"/>
      <w:bookmarkEnd w:id="113"/>
      <w:bookmarkEnd w:id="114"/>
      <w:bookmarkEnd w:id="115"/>
    </w:p>
    <w:p w14:paraId="4D67AF9D">
      <w:pPr>
        <w:pStyle w:val="67"/>
        <w:bidi w:val="0"/>
        <w:rPr>
          <w:rFonts w:hint="eastAsia"/>
          <w:color w:val="auto"/>
          <w:highlight w:val="none"/>
          <w:lang w:val="en-US" w:eastAsia="zh-CN"/>
        </w:rPr>
      </w:pPr>
      <w:r>
        <w:rPr>
          <w:rFonts w:hint="eastAsia"/>
          <w:color w:val="auto"/>
          <w:highlight w:val="none"/>
          <w:lang w:val="en-US" w:eastAsia="zh-CN"/>
        </w:rPr>
        <w:t>年龄标识与警告</w:t>
      </w:r>
    </w:p>
    <w:p w14:paraId="0D0D32CC">
      <w:pPr>
        <w:pStyle w:val="58"/>
        <w:ind w:firstLine="42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 xml:space="preserve">宜参见GB/T </w:t>
      </w:r>
      <w:r>
        <w:rPr>
          <w:rFonts w:hint="eastAsia" w:ascii="宋体" w:hAnsi="宋体" w:eastAsia="宋体" w:cs="宋体"/>
          <w:color w:val="auto"/>
          <w:sz w:val="21"/>
          <w:highlight w:val="none"/>
          <w:lang w:val="en-US" w:eastAsia="zh-CN" w:bidi="ar-SA"/>
        </w:rPr>
        <w:t>26710</w:t>
      </w:r>
      <w:r>
        <w:rPr>
          <w:rFonts w:hint="eastAsia" w:ascii="宋体" w:hAnsi="宋体" w:eastAsia="宋体" w:cs="宋体"/>
          <w:color w:val="auto"/>
          <w:highlight w:val="none"/>
          <w:lang w:val="en-US" w:eastAsia="zh-CN"/>
        </w:rPr>
        <w:t>规定，标注适用年龄标识与年龄警告图标，附加标准警告语。</w:t>
      </w:r>
    </w:p>
    <w:p w14:paraId="3312D9B7">
      <w:pPr>
        <w:pStyle w:val="67"/>
        <w:bidi w:val="0"/>
        <w:rPr>
          <w:rFonts w:hint="eastAsia"/>
          <w:color w:val="auto"/>
          <w:highlight w:val="none"/>
          <w:lang w:val="en-US" w:eastAsia="zh-CN"/>
        </w:rPr>
      </w:pPr>
      <w:r>
        <w:rPr>
          <w:rFonts w:hint="eastAsia"/>
          <w:color w:val="auto"/>
          <w:highlight w:val="none"/>
          <w:lang w:val="en-US" w:eastAsia="zh-CN"/>
        </w:rPr>
        <w:t>其他安全警示</w:t>
      </w:r>
    </w:p>
    <w:p w14:paraId="2EFB0EC0">
      <w:pPr>
        <w:pStyle w:val="58"/>
        <w:ind w:firstLine="420"/>
        <w:rPr>
          <w:rFonts w:hint="eastAsia"/>
          <w:color w:val="auto"/>
          <w:highlight w:val="none"/>
          <w:lang w:val="en-US" w:eastAsia="zh-CN"/>
        </w:rPr>
      </w:pPr>
      <w:r>
        <w:rPr>
          <w:rFonts w:hint="eastAsia"/>
          <w:color w:val="auto"/>
          <w:highlight w:val="none"/>
          <w:lang w:val="en-US" w:eastAsia="zh-CN"/>
        </w:rPr>
        <w:t>宜根据产品实际包含的部件与功能，以图标与文字结合方式补充相应警示。</w:t>
      </w:r>
    </w:p>
    <w:p w14:paraId="0B51DC39">
      <w:pPr>
        <w:pStyle w:val="107"/>
        <w:bidi w:val="0"/>
        <w:rPr>
          <w:color w:val="auto"/>
          <w:highlight w:val="none"/>
        </w:rPr>
      </w:pPr>
      <w:bookmarkStart w:id="116" w:name="_Toc11591"/>
      <w:bookmarkStart w:id="117" w:name="_Toc24814"/>
      <w:bookmarkStart w:id="118" w:name="_Toc27053"/>
      <w:bookmarkStart w:id="119" w:name="_Toc21917"/>
      <w:r>
        <w:rPr>
          <w:rFonts w:hint="eastAsia"/>
          <w:color w:val="auto"/>
          <w:highlight w:val="none"/>
          <w:lang w:val="en-US" w:eastAsia="zh-CN"/>
        </w:rPr>
        <w:t>组装点与指引线</w:t>
      </w:r>
      <w:bookmarkEnd w:id="116"/>
      <w:bookmarkEnd w:id="117"/>
      <w:bookmarkEnd w:id="118"/>
      <w:bookmarkEnd w:id="119"/>
    </w:p>
    <w:p w14:paraId="7AE52499">
      <w:pPr>
        <w:pStyle w:val="67"/>
        <w:bidi w:val="0"/>
        <w:rPr>
          <w:color w:val="auto"/>
          <w:highlight w:val="none"/>
        </w:rPr>
      </w:pPr>
      <w:r>
        <w:rPr>
          <w:color w:val="auto"/>
          <w:highlight w:val="none"/>
        </w:rPr>
        <w:t>辅助线</w:t>
      </w:r>
    </w:p>
    <w:p w14:paraId="408CB09E">
      <w:pPr>
        <w:pStyle w:val="58"/>
        <w:ind w:firstLine="420"/>
        <w:rPr>
          <w:color w:val="auto"/>
          <w:highlight w:val="none"/>
        </w:rPr>
      </w:pPr>
      <w:r>
        <w:rPr>
          <w:rFonts w:hint="eastAsia"/>
          <w:color w:val="auto"/>
          <w:highlight w:val="none"/>
          <w:lang w:val="en-US" w:eastAsia="zh-CN"/>
        </w:rPr>
        <w:t>宜</w:t>
      </w:r>
      <w:r>
        <w:rPr>
          <w:color w:val="auto"/>
          <w:highlight w:val="none"/>
        </w:rPr>
        <w:t>使用细实指引线精准指向</w:t>
      </w:r>
      <w:r>
        <w:rPr>
          <w:rFonts w:hint="eastAsia" w:cs="Times New Roman"/>
          <w:color w:val="auto"/>
          <w:sz w:val="21"/>
          <w:highlight w:val="none"/>
          <w:lang w:val="en-US" w:eastAsia="zh-CN" w:bidi="ar-SA"/>
        </w:rPr>
        <w:t>安装</w:t>
      </w:r>
      <w:r>
        <w:rPr>
          <w:color w:val="auto"/>
          <w:highlight w:val="none"/>
        </w:rPr>
        <w:t>位置。</w:t>
      </w:r>
    </w:p>
    <w:p w14:paraId="2BCE59F2">
      <w:pPr>
        <w:pStyle w:val="67"/>
        <w:bidi w:val="0"/>
        <w:rPr>
          <w:color w:val="auto"/>
          <w:highlight w:val="none"/>
        </w:rPr>
      </w:pPr>
      <w:r>
        <w:rPr>
          <w:rFonts w:hint="default"/>
          <w:color w:val="auto"/>
          <w:highlight w:val="none"/>
        </w:rPr>
        <w:t>插入方向箭头</w:t>
      </w:r>
    </w:p>
    <w:p w14:paraId="3D3295DC">
      <w:pPr>
        <w:pStyle w:val="58"/>
        <w:ind w:firstLine="420"/>
        <w:rPr>
          <w:color w:val="auto"/>
          <w:highlight w:val="none"/>
        </w:rPr>
      </w:pPr>
      <w:r>
        <w:rPr>
          <w:rFonts w:hint="eastAsia"/>
          <w:color w:val="auto"/>
          <w:highlight w:val="none"/>
          <w:lang w:val="en-US" w:eastAsia="zh-CN"/>
        </w:rPr>
        <w:t>宜</w:t>
      </w:r>
      <w:r>
        <w:rPr>
          <w:color w:val="auto"/>
          <w:highlight w:val="none"/>
        </w:rPr>
        <w:t>使用</w:t>
      </w:r>
      <w:r>
        <w:rPr>
          <w:rFonts w:hint="default"/>
          <w:color w:val="auto"/>
          <w:highlight w:val="none"/>
        </w:rPr>
        <w:t>空心箭头或单线箭头指示施力方向与路径。</w:t>
      </w:r>
    </w:p>
    <w:p w14:paraId="6C1A3B15">
      <w:pPr>
        <w:pStyle w:val="67"/>
        <w:bidi w:val="0"/>
        <w:rPr>
          <w:color w:val="auto"/>
          <w:highlight w:val="none"/>
        </w:rPr>
      </w:pPr>
      <w:r>
        <w:rPr>
          <w:rFonts w:hint="default"/>
          <w:color w:val="auto"/>
          <w:highlight w:val="none"/>
        </w:rPr>
        <w:t>零件朝向标注</w:t>
      </w:r>
    </w:p>
    <w:p w14:paraId="0F8AB880">
      <w:pPr>
        <w:pStyle w:val="58"/>
        <w:ind w:firstLine="420"/>
        <w:rPr>
          <w:color w:val="auto"/>
          <w:highlight w:val="none"/>
        </w:rPr>
      </w:pPr>
      <w:r>
        <w:rPr>
          <w:rFonts w:hint="default"/>
          <w:color w:val="auto"/>
          <w:highlight w:val="none"/>
        </w:rPr>
        <w:t>关键零件首次出现时，必须</w:t>
      </w:r>
      <w:r>
        <w:rPr>
          <w:rFonts w:hint="default" w:cs="Times New Roman"/>
          <w:color w:val="auto"/>
          <w:sz w:val="21"/>
          <w:highlight w:val="none"/>
          <w:lang w:val="en-US" w:eastAsia="zh-CN" w:bidi="ar-SA"/>
        </w:rPr>
        <w:t>附加</w:t>
      </w:r>
      <w:r>
        <w:rPr>
          <w:rFonts w:hint="default"/>
          <w:color w:val="auto"/>
          <w:highlight w:val="none"/>
        </w:rPr>
        <w:t>安装方向或旋转提示。</w:t>
      </w:r>
    </w:p>
    <w:p w14:paraId="7972FD83">
      <w:pPr>
        <w:pStyle w:val="67"/>
        <w:bidi w:val="0"/>
        <w:rPr>
          <w:color w:val="auto"/>
          <w:highlight w:val="none"/>
        </w:rPr>
      </w:pPr>
      <w:r>
        <w:rPr>
          <w:rFonts w:hint="default"/>
          <w:color w:val="auto"/>
          <w:highlight w:val="none"/>
        </w:rPr>
        <w:t>文字辅助</w:t>
      </w:r>
    </w:p>
    <w:p w14:paraId="5CF7D3A2">
      <w:pPr>
        <w:pStyle w:val="58"/>
        <w:ind w:firstLine="420"/>
        <w:rPr>
          <w:color w:val="auto"/>
          <w:highlight w:val="none"/>
        </w:rPr>
      </w:pPr>
      <w:r>
        <w:rPr>
          <w:rFonts w:hint="default"/>
          <w:color w:val="auto"/>
          <w:highlight w:val="none"/>
        </w:rPr>
        <w:t>在复杂机械步骤</w:t>
      </w:r>
      <w:r>
        <w:rPr>
          <w:rFonts w:hint="eastAsia"/>
          <w:color w:val="auto"/>
          <w:highlight w:val="none"/>
          <w:lang w:val="en-US" w:eastAsia="zh-CN"/>
        </w:rPr>
        <w:t>或</w:t>
      </w:r>
      <w:r>
        <w:rPr>
          <w:rFonts w:hint="eastAsia"/>
          <w:color w:val="auto"/>
          <w:highlight w:val="none"/>
        </w:rPr>
        <w:t>图形无法完全</w:t>
      </w:r>
      <w:r>
        <w:rPr>
          <w:rFonts w:hint="eastAsia"/>
          <w:color w:val="auto"/>
          <w:highlight w:val="none"/>
          <w:lang w:val="en-US" w:eastAsia="zh-CN"/>
        </w:rPr>
        <w:t>表达时，可在</w:t>
      </w:r>
      <w:r>
        <w:rPr>
          <w:rFonts w:hint="default"/>
          <w:color w:val="auto"/>
          <w:highlight w:val="none"/>
        </w:rPr>
        <w:t>旁添加文字注释</w:t>
      </w:r>
      <w:r>
        <w:rPr>
          <w:rFonts w:hint="eastAsia"/>
          <w:color w:val="auto"/>
          <w:highlight w:val="none"/>
          <w:lang w:eastAsia="zh-CN"/>
        </w:rPr>
        <w:t>。</w:t>
      </w:r>
    </w:p>
    <w:p w14:paraId="24D0E677">
      <w:pPr>
        <w:pStyle w:val="107"/>
        <w:bidi w:val="0"/>
        <w:rPr>
          <w:color w:val="auto"/>
          <w:highlight w:val="none"/>
        </w:rPr>
      </w:pPr>
      <w:bookmarkStart w:id="120" w:name="_Toc17618"/>
      <w:bookmarkStart w:id="121" w:name="_Toc6789"/>
      <w:bookmarkStart w:id="122" w:name="_Toc13352"/>
      <w:bookmarkStart w:id="123" w:name="_Toc9004"/>
      <w:r>
        <w:rPr>
          <w:rFonts w:hint="eastAsia"/>
          <w:color w:val="auto"/>
          <w:highlight w:val="none"/>
        </w:rPr>
        <w:t>动作与方向符号</w:t>
      </w:r>
      <w:bookmarkEnd w:id="120"/>
      <w:bookmarkEnd w:id="121"/>
      <w:bookmarkEnd w:id="122"/>
      <w:bookmarkEnd w:id="123"/>
    </w:p>
    <w:p w14:paraId="31518D0C">
      <w:pPr>
        <w:pStyle w:val="67"/>
        <w:bidi w:val="0"/>
        <w:rPr>
          <w:rFonts w:hint="eastAsia"/>
          <w:color w:val="auto"/>
          <w:highlight w:val="none"/>
        </w:rPr>
      </w:pPr>
      <w:r>
        <w:rPr>
          <w:rFonts w:hint="eastAsia"/>
          <w:color w:val="auto"/>
          <w:highlight w:val="none"/>
        </w:rPr>
        <w:t>插入/推入</w:t>
      </w:r>
    </w:p>
    <w:p w14:paraId="5D5C745D">
      <w:pPr>
        <w:pStyle w:val="58"/>
        <w:ind w:firstLine="420"/>
        <w:rPr>
          <w:rFonts w:hint="eastAsia"/>
          <w:color w:val="auto"/>
          <w:highlight w:val="none"/>
        </w:rPr>
      </w:pPr>
      <w:r>
        <w:rPr>
          <w:rFonts w:hint="eastAsia"/>
          <w:color w:val="auto"/>
          <w:highlight w:val="none"/>
        </w:rPr>
        <w:t>使用直线空心或实心箭头，沿安装方向明确标注运动路径。</w:t>
      </w:r>
    </w:p>
    <w:p w14:paraId="55CB6EC7">
      <w:pPr>
        <w:pStyle w:val="67"/>
        <w:bidi w:val="0"/>
        <w:rPr>
          <w:rFonts w:hint="eastAsia"/>
          <w:color w:val="auto"/>
          <w:highlight w:val="none"/>
        </w:rPr>
      </w:pPr>
      <w:r>
        <w:rPr>
          <w:rFonts w:hint="eastAsia"/>
          <w:color w:val="auto"/>
          <w:highlight w:val="none"/>
        </w:rPr>
        <w:t>旋转/翻转</w:t>
      </w:r>
    </w:p>
    <w:p w14:paraId="637840FE">
      <w:pPr>
        <w:pStyle w:val="58"/>
        <w:ind w:firstLine="420"/>
        <w:rPr>
          <w:rFonts w:hint="eastAsia"/>
          <w:color w:val="auto"/>
          <w:highlight w:val="none"/>
        </w:rPr>
      </w:pPr>
      <w:r>
        <w:rPr>
          <w:rFonts w:hint="eastAsia"/>
          <w:color w:val="auto"/>
          <w:highlight w:val="none"/>
        </w:rPr>
        <w:t>使用弯曲箭头标示零件或整体模型的旋转方向。</w:t>
      </w:r>
    </w:p>
    <w:p w14:paraId="2BBB78FA">
      <w:pPr>
        <w:pStyle w:val="67"/>
        <w:bidi w:val="0"/>
        <w:rPr>
          <w:rFonts w:hint="eastAsia"/>
          <w:color w:val="auto"/>
          <w:highlight w:val="none"/>
        </w:rPr>
      </w:pPr>
      <w:r>
        <w:rPr>
          <w:rFonts w:hint="eastAsia"/>
          <w:color w:val="auto"/>
          <w:highlight w:val="none"/>
        </w:rPr>
        <w:t>按压/卡扣到位</w:t>
      </w:r>
    </w:p>
    <w:p w14:paraId="50B538D7">
      <w:pPr>
        <w:pStyle w:val="58"/>
        <w:ind w:firstLine="420"/>
        <w:rPr>
          <w:rFonts w:hint="eastAsia"/>
          <w:color w:val="auto"/>
          <w:highlight w:val="none"/>
        </w:rPr>
      </w:pPr>
      <w:r>
        <w:rPr>
          <w:rFonts w:hint="eastAsia"/>
          <w:color w:val="auto"/>
          <w:highlight w:val="none"/>
        </w:rPr>
        <w:t>使用实心三角或带有“咔哒”意象的符号，标示需施力按压至位的点位。</w:t>
      </w:r>
    </w:p>
    <w:p w14:paraId="665FC791">
      <w:pPr>
        <w:pStyle w:val="67"/>
        <w:bidi w:val="0"/>
        <w:rPr>
          <w:color w:val="auto"/>
          <w:highlight w:val="none"/>
        </w:rPr>
      </w:pPr>
      <w:r>
        <w:rPr>
          <w:rFonts w:hint="eastAsia"/>
          <w:color w:val="auto"/>
          <w:highlight w:val="none"/>
        </w:rPr>
        <w:t>动作顺序编号</w:t>
      </w:r>
    </w:p>
    <w:p w14:paraId="23F0FE7A">
      <w:pPr>
        <w:pStyle w:val="58"/>
        <w:ind w:firstLine="420"/>
        <w:rPr>
          <w:color w:val="auto"/>
          <w:highlight w:val="none"/>
        </w:rPr>
      </w:pPr>
      <w:r>
        <w:rPr>
          <w:rFonts w:hint="eastAsia"/>
          <w:color w:val="auto"/>
          <w:highlight w:val="none"/>
        </w:rPr>
        <w:t>复杂步骤中，以数字标明多个零件在同一区域的先后安装顺序。</w:t>
      </w:r>
    </w:p>
    <w:p w14:paraId="6D2910F6">
      <w:pPr>
        <w:pStyle w:val="107"/>
        <w:bidi w:val="0"/>
        <w:rPr>
          <w:rFonts w:hint="eastAsia"/>
          <w:color w:val="auto"/>
          <w:highlight w:val="none"/>
        </w:rPr>
      </w:pPr>
      <w:bookmarkStart w:id="124" w:name="_Toc4059"/>
      <w:bookmarkStart w:id="125" w:name="_Toc2082"/>
      <w:bookmarkStart w:id="126" w:name="_Toc24682"/>
      <w:bookmarkStart w:id="127" w:name="_Toc14423"/>
      <w:r>
        <w:rPr>
          <w:rFonts w:hint="eastAsia"/>
          <w:color w:val="auto"/>
          <w:highlight w:val="none"/>
        </w:rPr>
        <w:t>状态指示图标</w:t>
      </w:r>
      <w:bookmarkEnd w:id="124"/>
      <w:bookmarkEnd w:id="125"/>
      <w:bookmarkEnd w:id="126"/>
      <w:bookmarkEnd w:id="127"/>
    </w:p>
    <w:p w14:paraId="7E595343">
      <w:pPr>
        <w:pStyle w:val="67"/>
        <w:bidi w:val="0"/>
        <w:rPr>
          <w:rFonts w:hint="eastAsia"/>
          <w:color w:val="auto"/>
          <w:highlight w:val="none"/>
        </w:rPr>
      </w:pPr>
      <w:r>
        <w:rPr>
          <w:rFonts w:hint="eastAsia"/>
          <w:color w:val="auto"/>
          <w:highlight w:val="none"/>
        </w:rPr>
        <w:t>翻转图标</w:t>
      </w:r>
    </w:p>
    <w:p w14:paraId="38252C39">
      <w:pPr>
        <w:pStyle w:val="58"/>
        <w:ind w:firstLine="420"/>
        <w:rPr>
          <w:rFonts w:hint="eastAsia" w:ascii="宋体" w:hAnsi="宋体" w:eastAsia="宋体" w:cs="宋体"/>
          <w:color w:val="auto"/>
          <w:highlight w:val="none"/>
        </w:rPr>
      </w:pPr>
      <w:r>
        <w:rPr>
          <w:rFonts w:hint="eastAsia" w:ascii="宋体" w:hAnsi="宋体" w:eastAsia="宋体" w:cs="宋体"/>
          <w:color w:val="auto"/>
          <w:highlight w:val="none"/>
        </w:rPr>
        <w:t>带有360°</w:t>
      </w:r>
      <w:r>
        <w:rPr>
          <w:rFonts w:hint="eastAsia" w:ascii="宋体" w:hAnsi="宋体" w:eastAsia="宋体" w:cs="宋体"/>
          <w:color w:val="auto"/>
          <w:highlight w:val="none"/>
          <w:lang w:val="en-US" w:eastAsia="zh-CN"/>
        </w:rPr>
        <w:t>或其他</w:t>
      </w:r>
      <w:r>
        <w:rPr>
          <w:rFonts w:hint="eastAsia" w:ascii="宋体" w:hAnsi="宋体" w:eastAsia="宋体" w:cs="宋体"/>
          <w:color w:val="auto"/>
          <w:sz w:val="21"/>
          <w:highlight w:val="none"/>
          <w:lang w:val="en-US" w:eastAsia="zh-CN" w:bidi="ar-SA"/>
        </w:rPr>
        <w:t>角度</w:t>
      </w:r>
      <w:r>
        <w:rPr>
          <w:rFonts w:hint="eastAsia" w:ascii="宋体" w:hAnsi="宋体" w:eastAsia="宋体" w:cs="宋体"/>
          <w:color w:val="auto"/>
          <w:highlight w:val="none"/>
        </w:rPr>
        <w:t>旋转箭头的图标，提示用户将模型翻转至</w:t>
      </w:r>
      <w:r>
        <w:rPr>
          <w:rFonts w:hint="eastAsia" w:ascii="宋体" w:hAnsi="宋体" w:eastAsia="宋体" w:cs="宋体"/>
          <w:color w:val="auto"/>
          <w:highlight w:val="none"/>
          <w:lang w:val="en-US" w:eastAsia="zh-CN"/>
        </w:rPr>
        <w:t>指定</w:t>
      </w:r>
      <w:r>
        <w:rPr>
          <w:rFonts w:hint="eastAsia" w:ascii="宋体" w:hAnsi="宋体" w:eastAsia="宋体" w:cs="宋体"/>
          <w:color w:val="auto"/>
          <w:highlight w:val="none"/>
        </w:rPr>
        <w:t>面。</w:t>
      </w:r>
    </w:p>
    <w:p w14:paraId="2AED26E5">
      <w:pPr>
        <w:pStyle w:val="67"/>
        <w:bidi w:val="0"/>
        <w:rPr>
          <w:rFonts w:hint="eastAsia"/>
          <w:color w:val="auto"/>
          <w:highlight w:val="none"/>
        </w:rPr>
      </w:pPr>
      <w:r>
        <w:rPr>
          <w:rFonts w:hint="eastAsia"/>
          <w:color w:val="auto"/>
          <w:highlight w:val="none"/>
        </w:rPr>
        <w:t>视角转换图标</w:t>
      </w:r>
    </w:p>
    <w:p w14:paraId="05FD83DB">
      <w:pPr>
        <w:pStyle w:val="58"/>
        <w:ind w:firstLine="420"/>
        <w:rPr>
          <w:rFonts w:hint="eastAsia"/>
          <w:color w:val="auto"/>
          <w:highlight w:val="none"/>
        </w:rPr>
      </w:pPr>
      <w:r>
        <w:rPr>
          <w:rFonts w:hint="eastAsia"/>
          <w:color w:val="auto"/>
          <w:highlight w:val="none"/>
        </w:rPr>
        <w:t>提示用户转换观察视角。</w:t>
      </w:r>
    </w:p>
    <w:p w14:paraId="225578BA">
      <w:pPr>
        <w:pStyle w:val="67"/>
        <w:bidi w:val="0"/>
        <w:rPr>
          <w:rFonts w:hint="eastAsia"/>
          <w:color w:val="auto"/>
          <w:highlight w:val="none"/>
        </w:rPr>
      </w:pPr>
      <w:r>
        <w:rPr>
          <w:rFonts w:hint="eastAsia"/>
          <w:color w:val="auto"/>
          <w:highlight w:val="none"/>
        </w:rPr>
        <w:t>对齐与居中</w:t>
      </w:r>
    </w:p>
    <w:p w14:paraId="08C3DC83">
      <w:pPr>
        <w:pStyle w:val="58"/>
        <w:ind w:firstLine="420"/>
        <w:rPr>
          <w:rFonts w:hint="eastAsia"/>
          <w:color w:val="auto"/>
          <w:highlight w:val="none"/>
        </w:rPr>
      </w:pPr>
      <w:r>
        <w:rPr>
          <w:rFonts w:hint="eastAsia"/>
          <w:color w:val="auto"/>
          <w:highlight w:val="none"/>
        </w:rPr>
        <w:t>使用中心点划线标示轴孔对齐，虚线标示零件与相邻结构平齐或居中的位置关系。</w:t>
      </w:r>
    </w:p>
    <w:p w14:paraId="6993FBED">
      <w:pPr>
        <w:pStyle w:val="67"/>
        <w:bidi w:val="0"/>
        <w:rPr>
          <w:rFonts w:hint="eastAsia"/>
          <w:color w:val="auto"/>
          <w:highlight w:val="none"/>
        </w:rPr>
      </w:pPr>
      <w:r>
        <w:rPr>
          <w:rFonts w:hint="eastAsia"/>
          <w:color w:val="auto"/>
          <w:highlight w:val="none"/>
        </w:rPr>
        <w:t>完成状态指示</w:t>
      </w:r>
    </w:p>
    <w:p w14:paraId="0CF10654">
      <w:pPr>
        <w:pStyle w:val="58"/>
        <w:ind w:firstLine="420"/>
        <w:rPr>
          <w:rFonts w:hint="eastAsia"/>
          <w:color w:val="auto"/>
          <w:highlight w:val="none"/>
        </w:rPr>
      </w:pPr>
      <w:r>
        <w:rPr>
          <w:rFonts w:hint="eastAsia"/>
          <w:color w:val="auto"/>
          <w:highlight w:val="none"/>
        </w:rPr>
        <w:t>在每个大步骤</w:t>
      </w:r>
      <w:r>
        <w:rPr>
          <w:rFonts w:hint="eastAsia" w:cs="Times New Roman"/>
          <w:color w:val="auto"/>
          <w:sz w:val="21"/>
          <w:highlight w:val="none"/>
          <w:lang w:val="en-US" w:eastAsia="zh-CN" w:bidi="ar-SA"/>
        </w:rPr>
        <w:t>结束</w:t>
      </w:r>
      <w:r>
        <w:rPr>
          <w:rFonts w:hint="eastAsia"/>
          <w:color w:val="auto"/>
          <w:highlight w:val="none"/>
        </w:rPr>
        <w:t>时，展示该阶段的成品状态图，给予阶段性正向反馈。</w:t>
      </w:r>
    </w:p>
    <w:p w14:paraId="694F3785">
      <w:pPr>
        <w:pStyle w:val="106"/>
        <w:bidi w:val="0"/>
        <w:rPr>
          <w:rFonts w:hint="eastAsia"/>
          <w:color w:val="auto"/>
          <w:highlight w:val="none"/>
        </w:rPr>
      </w:pPr>
      <w:bookmarkStart w:id="128" w:name="_Toc14827"/>
      <w:bookmarkStart w:id="129" w:name="_Toc12772"/>
      <w:bookmarkStart w:id="130" w:name="_Toc27592"/>
      <w:bookmarkStart w:id="131" w:name="_Toc6760"/>
      <w:r>
        <w:rPr>
          <w:rFonts w:hint="eastAsia"/>
          <w:color w:val="auto"/>
          <w:highlight w:val="none"/>
        </w:rPr>
        <w:t>拼装引导</w:t>
      </w:r>
      <w:bookmarkEnd w:id="128"/>
      <w:bookmarkEnd w:id="129"/>
      <w:bookmarkEnd w:id="130"/>
      <w:bookmarkEnd w:id="131"/>
    </w:p>
    <w:p w14:paraId="2B9D9940">
      <w:pPr>
        <w:pStyle w:val="107"/>
        <w:bidi w:val="0"/>
        <w:rPr>
          <w:rFonts w:hint="eastAsia"/>
          <w:color w:val="auto"/>
          <w:highlight w:val="none"/>
        </w:rPr>
      </w:pPr>
      <w:bookmarkStart w:id="132" w:name="_Toc29659"/>
      <w:bookmarkStart w:id="133" w:name="_Toc29842"/>
      <w:bookmarkStart w:id="134" w:name="_Toc28606"/>
      <w:bookmarkStart w:id="135" w:name="_Toc22243"/>
      <w:r>
        <w:rPr>
          <w:rFonts w:hint="eastAsia"/>
          <w:color w:val="auto"/>
          <w:highlight w:val="none"/>
        </w:rPr>
        <w:t>步骤逻辑</w:t>
      </w:r>
      <w:bookmarkEnd w:id="132"/>
      <w:bookmarkEnd w:id="133"/>
      <w:bookmarkEnd w:id="134"/>
      <w:bookmarkEnd w:id="135"/>
    </w:p>
    <w:p w14:paraId="02583A28">
      <w:pPr>
        <w:pStyle w:val="67"/>
        <w:bidi w:val="0"/>
        <w:rPr>
          <w:rFonts w:hint="eastAsia"/>
          <w:color w:val="auto"/>
          <w:highlight w:val="none"/>
        </w:rPr>
      </w:pPr>
      <w:r>
        <w:rPr>
          <w:rFonts w:hint="eastAsia"/>
          <w:color w:val="auto"/>
          <w:highlight w:val="none"/>
        </w:rPr>
        <w:t>大底板先行</w:t>
      </w:r>
    </w:p>
    <w:p w14:paraId="2AE9172A">
      <w:pPr>
        <w:pStyle w:val="58"/>
        <w:ind w:firstLine="420"/>
        <w:rPr>
          <w:rFonts w:hint="eastAsia"/>
          <w:color w:val="auto"/>
          <w:highlight w:val="none"/>
        </w:rPr>
      </w:pPr>
      <w:r>
        <w:rPr>
          <w:rFonts w:hint="eastAsia"/>
          <w:color w:val="auto"/>
          <w:highlight w:val="none"/>
        </w:rPr>
        <w:t>首个步骤宜从底板或最底层框架开始搭建，确保基础稳固。</w:t>
      </w:r>
    </w:p>
    <w:p w14:paraId="3471E762">
      <w:pPr>
        <w:pStyle w:val="67"/>
        <w:bidi w:val="0"/>
        <w:rPr>
          <w:rFonts w:hint="eastAsia"/>
          <w:color w:val="auto"/>
          <w:highlight w:val="none"/>
        </w:rPr>
      </w:pPr>
      <w:r>
        <w:rPr>
          <w:rFonts w:hint="eastAsia"/>
          <w:color w:val="auto"/>
          <w:highlight w:val="none"/>
        </w:rPr>
        <w:t>分层与对称</w:t>
      </w:r>
    </w:p>
    <w:p w14:paraId="19272C50">
      <w:pPr>
        <w:pStyle w:val="58"/>
        <w:ind w:firstLine="420"/>
        <w:rPr>
          <w:rFonts w:hint="eastAsia"/>
          <w:color w:val="auto"/>
          <w:highlight w:val="none"/>
        </w:rPr>
      </w:pPr>
      <w:r>
        <w:rPr>
          <w:rFonts w:hint="eastAsia"/>
          <w:color w:val="auto"/>
          <w:highlight w:val="none"/>
        </w:rPr>
        <w:t>先拼底座，再对称完成两侧，最后完成顶部结构；“分块完成”优于“单块连续”，可降低拼装误差。</w:t>
      </w:r>
    </w:p>
    <w:p w14:paraId="50A6F064">
      <w:pPr>
        <w:pStyle w:val="67"/>
        <w:bidi w:val="0"/>
        <w:rPr>
          <w:rFonts w:hint="eastAsia"/>
          <w:color w:val="auto"/>
          <w:highlight w:val="none"/>
        </w:rPr>
      </w:pPr>
      <w:r>
        <w:rPr>
          <w:rFonts w:hint="eastAsia"/>
          <w:color w:val="auto"/>
          <w:highlight w:val="none"/>
        </w:rPr>
        <w:t>复杂组合预拼</w:t>
      </w:r>
    </w:p>
    <w:p w14:paraId="78A71880">
      <w:pPr>
        <w:pStyle w:val="58"/>
        <w:ind w:firstLine="420"/>
        <w:rPr>
          <w:rFonts w:hint="eastAsia"/>
          <w:color w:val="auto"/>
          <w:highlight w:val="none"/>
        </w:rPr>
      </w:pPr>
      <w:r>
        <w:rPr>
          <w:rFonts w:hint="eastAsia"/>
          <w:color w:val="auto"/>
          <w:highlight w:val="none"/>
        </w:rPr>
        <w:t>复杂结构宜预先</w:t>
      </w:r>
      <w:r>
        <w:rPr>
          <w:rFonts w:hint="eastAsia" w:cs="Times New Roman"/>
          <w:color w:val="auto"/>
          <w:sz w:val="21"/>
          <w:highlight w:val="none"/>
          <w:lang w:val="en-US" w:eastAsia="zh-CN" w:bidi="ar-SA"/>
        </w:rPr>
        <w:t>设计</w:t>
      </w:r>
      <w:r>
        <w:rPr>
          <w:rFonts w:hint="eastAsia"/>
          <w:color w:val="auto"/>
          <w:highlight w:val="none"/>
        </w:rPr>
        <w:t>为若干子模块，完成子模块组装后再整体安装。</w:t>
      </w:r>
    </w:p>
    <w:p w14:paraId="16EBE744">
      <w:pPr>
        <w:pStyle w:val="67"/>
        <w:bidi w:val="0"/>
        <w:rPr>
          <w:rFonts w:hint="eastAsia"/>
          <w:color w:val="auto"/>
          <w:highlight w:val="none"/>
        </w:rPr>
      </w:pPr>
      <w:r>
        <w:rPr>
          <w:rFonts w:hint="eastAsia"/>
          <w:color w:val="auto"/>
          <w:highlight w:val="none"/>
        </w:rPr>
        <w:t>内构优先</w:t>
      </w:r>
    </w:p>
    <w:p w14:paraId="4D52FEDF">
      <w:pPr>
        <w:pStyle w:val="58"/>
        <w:ind w:firstLine="420"/>
        <w:rPr>
          <w:rFonts w:hint="eastAsia"/>
          <w:color w:val="auto"/>
          <w:highlight w:val="none"/>
        </w:rPr>
      </w:pPr>
      <w:r>
        <w:rPr>
          <w:rFonts w:hint="eastAsia"/>
          <w:color w:val="auto"/>
          <w:highlight w:val="none"/>
        </w:rPr>
        <w:t>整体拼装宜遵循“内构→外甲→配件”的顺序。</w:t>
      </w:r>
    </w:p>
    <w:p w14:paraId="30F2E478">
      <w:pPr>
        <w:pStyle w:val="67"/>
        <w:bidi w:val="0"/>
        <w:rPr>
          <w:rFonts w:hint="eastAsia"/>
          <w:color w:val="auto"/>
          <w:highlight w:val="none"/>
        </w:rPr>
      </w:pPr>
      <w:r>
        <w:rPr>
          <w:rFonts w:hint="eastAsia"/>
          <w:color w:val="auto"/>
          <w:highlight w:val="none"/>
        </w:rPr>
        <w:t>模块化并行</w:t>
      </w:r>
    </w:p>
    <w:p w14:paraId="6C211DBB">
      <w:pPr>
        <w:pStyle w:val="58"/>
        <w:ind w:firstLine="420"/>
        <w:rPr>
          <w:rFonts w:hint="eastAsia"/>
          <w:color w:val="auto"/>
          <w:highlight w:val="none"/>
        </w:rPr>
      </w:pPr>
      <w:r>
        <w:rPr>
          <w:rFonts w:hint="eastAsia"/>
          <w:color w:val="auto"/>
          <w:highlight w:val="none"/>
        </w:rPr>
        <w:t>大型套组可</w:t>
      </w:r>
      <w:r>
        <w:rPr>
          <w:rFonts w:hint="eastAsia" w:cs="Times New Roman"/>
          <w:color w:val="auto"/>
          <w:sz w:val="21"/>
          <w:highlight w:val="none"/>
          <w:lang w:val="en-US" w:eastAsia="zh-CN" w:bidi="ar-SA"/>
        </w:rPr>
        <w:t>采用</w:t>
      </w:r>
      <w:r>
        <w:rPr>
          <w:rFonts w:hint="eastAsia"/>
          <w:color w:val="auto"/>
          <w:highlight w:val="none"/>
        </w:rPr>
        <w:t>模块化设计</w:t>
      </w:r>
      <w:r>
        <w:rPr>
          <w:color w:val="auto"/>
          <w:highlight w:val="none"/>
        </w:rPr>
        <w:t>分册指引</w:t>
      </w:r>
      <w:r>
        <w:rPr>
          <w:rFonts w:hint="eastAsia"/>
          <w:color w:val="auto"/>
          <w:highlight w:val="none"/>
        </w:rPr>
        <w:t>，支持多人依据不同分册从不同分包同时拼装，最后进行模块组合。</w:t>
      </w:r>
    </w:p>
    <w:p w14:paraId="7D31010F">
      <w:pPr>
        <w:pStyle w:val="107"/>
        <w:tabs>
          <w:tab w:val="left" w:pos="1050"/>
        </w:tabs>
        <w:bidi w:val="0"/>
        <w:rPr>
          <w:rFonts w:hint="eastAsia"/>
          <w:color w:val="auto"/>
          <w:highlight w:val="none"/>
        </w:rPr>
      </w:pPr>
      <w:bookmarkStart w:id="136" w:name="_Toc29102"/>
      <w:bookmarkStart w:id="137" w:name="_Toc25409"/>
      <w:bookmarkStart w:id="138" w:name="_Toc8015"/>
      <w:bookmarkStart w:id="139" w:name="_Toc21366"/>
      <w:r>
        <w:rPr>
          <w:rFonts w:hint="eastAsia"/>
          <w:color w:val="auto"/>
          <w:highlight w:val="none"/>
        </w:rPr>
        <w:t>排版与分册</w:t>
      </w:r>
      <w:bookmarkEnd w:id="136"/>
      <w:bookmarkEnd w:id="137"/>
      <w:bookmarkEnd w:id="138"/>
      <w:bookmarkEnd w:id="139"/>
    </w:p>
    <w:p w14:paraId="282C0241">
      <w:pPr>
        <w:pStyle w:val="67"/>
        <w:bidi w:val="0"/>
        <w:rPr>
          <w:rFonts w:hint="eastAsia"/>
          <w:color w:val="auto"/>
          <w:highlight w:val="none"/>
        </w:rPr>
      </w:pPr>
      <w:r>
        <w:rPr>
          <w:rFonts w:hint="eastAsia"/>
          <w:color w:val="auto"/>
          <w:highlight w:val="none"/>
        </w:rPr>
        <w:t>步骤编号</w:t>
      </w:r>
    </w:p>
    <w:p w14:paraId="3C813BCC">
      <w:pPr>
        <w:pStyle w:val="58"/>
        <w:ind w:firstLine="420"/>
        <w:rPr>
          <w:rFonts w:hint="eastAsia"/>
          <w:color w:val="auto"/>
          <w:highlight w:val="none"/>
        </w:rPr>
      </w:pPr>
      <w:r>
        <w:rPr>
          <w:rFonts w:hint="eastAsia"/>
          <w:color w:val="auto"/>
          <w:highlight w:val="none"/>
        </w:rPr>
        <w:t>每一拼装步骤按顺序编号，编号清晰可见，便于快速定位。</w:t>
      </w:r>
    </w:p>
    <w:p w14:paraId="12BF3A53">
      <w:pPr>
        <w:pStyle w:val="67"/>
        <w:bidi w:val="0"/>
        <w:rPr>
          <w:rFonts w:hint="eastAsia"/>
          <w:color w:val="auto"/>
          <w:highlight w:val="none"/>
        </w:rPr>
      </w:pPr>
      <w:r>
        <w:rPr>
          <w:rFonts w:hint="eastAsia"/>
          <w:color w:val="auto"/>
          <w:highlight w:val="none"/>
        </w:rPr>
        <w:t>单页步骤数量</w:t>
      </w:r>
    </w:p>
    <w:p w14:paraId="792BF1DE">
      <w:pPr>
        <w:pStyle w:val="58"/>
        <w:ind w:firstLine="420"/>
        <w:rPr>
          <w:rFonts w:hint="eastAsia"/>
          <w:color w:val="auto"/>
          <w:highlight w:val="none"/>
        </w:rPr>
      </w:pPr>
      <w:r>
        <w:rPr>
          <w:rFonts w:hint="eastAsia"/>
          <w:color w:val="auto"/>
          <w:highlight w:val="none"/>
        </w:rPr>
        <w:t>单页步骤不宜过多，避免信息过载。</w:t>
      </w:r>
    </w:p>
    <w:p w14:paraId="47CA77BA">
      <w:pPr>
        <w:pStyle w:val="67"/>
        <w:bidi w:val="0"/>
        <w:rPr>
          <w:rFonts w:hint="eastAsia"/>
          <w:color w:val="auto"/>
          <w:highlight w:val="none"/>
        </w:rPr>
      </w:pPr>
      <w:r>
        <w:rPr>
          <w:rFonts w:hint="eastAsia"/>
          <w:color w:val="auto"/>
          <w:highlight w:val="none"/>
        </w:rPr>
        <w:t>左右排版</w:t>
      </w:r>
    </w:p>
    <w:p w14:paraId="65B4BB48">
      <w:pPr>
        <w:pStyle w:val="58"/>
        <w:ind w:firstLine="420"/>
        <w:rPr>
          <w:rFonts w:hint="eastAsia"/>
          <w:color w:val="auto"/>
          <w:highlight w:val="none"/>
        </w:rPr>
      </w:pPr>
      <w:r>
        <w:rPr>
          <w:rFonts w:hint="eastAsia"/>
          <w:color w:val="auto"/>
          <w:highlight w:val="none"/>
        </w:rPr>
        <w:t>宜采用左右排版方式，提升视觉舒适度与阅读效率。</w:t>
      </w:r>
    </w:p>
    <w:p w14:paraId="02D149B9">
      <w:pPr>
        <w:pStyle w:val="107"/>
        <w:bidi w:val="0"/>
        <w:rPr>
          <w:rFonts w:hint="eastAsia"/>
          <w:color w:val="auto"/>
          <w:highlight w:val="none"/>
        </w:rPr>
      </w:pPr>
      <w:bookmarkStart w:id="140" w:name="_Toc4444"/>
      <w:bookmarkStart w:id="141" w:name="_Toc598"/>
      <w:bookmarkStart w:id="142" w:name="_Toc19895"/>
      <w:bookmarkStart w:id="143" w:name="_Toc13862"/>
      <w:r>
        <w:rPr>
          <w:rFonts w:hint="eastAsia"/>
          <w:color w:val="auto"/>
          <w:highlight w:val="none"/>
        </w:rPr>
        <w:t>零件分包指引</w:t>
      </w:r>
      <w:bookmarkEnd w:id="140"/>
      <w:bookmarkEnd w:id="141"/>
      <w:bookmarkEnd w:id="142"/>
      <w:bookmarkEnd w:id="143"/>
    </w:p>
    <w:p w14:paraId="1B692881">
      <w:pPr>
        <w:pStyle w:val="67"/>
        <w:bidi w:val="0"/>
        <w:rPr>
          <w:rFonts w:hint="eastAsia"/>
          <w:color w:val="auto"/>
          <w:highlight w:val="none"/>
        </w:rPr>
      </w:pPr>
      <w:r>
        <w:rPr>
          <w:rFonts w:hint="eastAsia"/>
          <w:color w:val="auto"/>
          <w:highlight w:val="none"/>
        </w:rPr>
        <w:t>分包标识</w:t>
      </w:r>
    </w:p>
    <w:p w14:paraId="50E7D91F">
      <w:pPr>
        <w:pStyle w:val="58"/>
        <w:ind w:firstLine="420"/>
        <w:rPr>
          <w:rFonts w:hint="eastAsia"/>
          <w:color w:val="auto"/>
          <w:highlight w:val="none"/>
        </w:rPr>
      </w:pPr>
      <w:r>
        <w:rPr>
          <w:rFonts w:hint="eastAsia"/>
          <w:color w:val="auto"/>
          <w:highlight w:val="none"/>
        </w:rPr>
        <w:t>分册说明书首页宜标注该册拼装所需的分包编号；在首次使用某分包零件的步骤处，标注对应包装袋编号</w:t>
      </w:r>
      <w:r>
        <w:rPr>
          <w:rFonts w:hint="eastAsia"/>
          <w:color w:val="auto"/>
          <w:highlight w:val="none"/>
          <w:lang w:val="en-US" w:eastAsia="zh-CN"/>
        </w:rPr>
        <w:t>与标识</w:t>
      </w:r>
      <w:r>
        <w:rPr>
          <w:rFonts w:hint="eastAsia"/>
          <w:color w:val="auto"/>
          <w:highlight w:val="none"/>
        </w:rPr>
        <w:t>，确保</w:t>
      </w:r>
      <w:r>
        <w:rPr>
          <w:rFonts w:hint="eastAsia" w:cs="Times New Roman"/>
          <w:color w:val="auto"/>
          <w:sz w:val="21"/>
          <w:highlight w:val="none"/>
          <w:lang w:val="en-US" w:eastAsia="zh-CN" w:bidi="ar-SA"/>
        </w:rPr>
        <w:t>用户</w:t>
      </w:r>
      <w:r>
        <w:rPr>
          <w:rFonts w:hint="eastAsia"/>
          <w:color w:val="auto"/>
          <w:highlight w:val="none"/>
        </w:rPr>
        <w:t>知晓当前步骤所用零件来源。</w:t>
      </w:r>
    </w:p>
    <w:p w14:paraId="7DD0488A">
      <w:pPr>
        <w:pStyle w:val="67"/>
        <w:bidi w:val="0"/>
        <w:rPr>
          <w:rFonts w:hint="eastAsia"/>
          <w:color w:val="auto"/>
          <w:highlight w:val="none"/>
        </w:rPr>
      </w:pPr>
      <w:r>
        <w:rPr>
          <w:rFonts w:hint="eastAsia"/>
          <w:color w:val="auto"/>
          <w:highlight w:val="none"/>
        </w:rPr>
        <w:t>分包对照表</w:t>
      </w:r>
    </w:p>
    <w:p w14:paraId="2B5C5D84">
      <w:pPr>
        <w:pStyle w:val="58"/>
        <w:ind w:firstLine="420"/>
        <w:rPr>
          <w:rFonts w:hint="eastAsia"/>
          <w:color w:val="auto"/>
          <w:highlight w:val="none"/>
        </w:rPr>
      </w:pPr>
      <w:r>
        <w:rPr>
          <w:rFonts w:hint="eastAsia"/>
          <w:color w:val="auto"/>
          <w:highlight w:val="none"/>
        </w:rPr>
        <w:t>大型套组宜在</w:t>
      </w:r>
      <w:r>
        <w:rPr>
          <w:rFonts w:hint="eastAsia" w:cs="Times New Roman"/>
          <w:color w:val="auto"/>
          <w:sz w:val="21"/>
          <w:highlight w:val="none"/>
          <w:lang w:val="en-US" w:eastAsia="zh-CN" w:bidi="ar-SA"/>
        </w:rPr>
        <w:t>说明书</w:t>
      </w:r>
      <w:r>
        <w:rPr>
          <w:rFonts w:hint="eastAsia"/>
          <w:color w:val="auto"/>
          <w:highlight w:val="none"/>
        </w:rPr>
        <w:t>首页设置分包与步骤对应表，清晰展示各包</w:t>
      </w:r>
      <w:r>
        <w:rPr>
          <w:rFonts w:hint="eastAsia"/>
          <w:color w:val="auto"/>
          <w:highlight w:val="none"/>
          <w:lang w:val="en-US" w:eastAsia="zh-CN"/>
        </w:rPr>
        <w:t>积木零件成品或</w:t>
      </w:r>
      <w:r>
        <w:rPr>
          <w:rFonts w:hint="eastAsia"/>
          <w:color w:val="auto"/>
          <w:highlight w:val="none"/>
        </w:rPr>
        <w:t>步骤范围。</w:t>
      </w:r>
    </w:p>
    <w:p w14:paraId="273D2FE9">
      <w:pPr>
        <w:pStyle w:val="107"/>
        <w:bidi w:val="0"/>
        <w:rPr>
          <w:rFonts w:hint="eastAsia"/>
          <w:color w:val="auto"/>
          <w:highlight w:val="none"/>
        </w:rPr>
      </w:pPr>
      <w:bookmarkStart w:id="144" w:name="_Toc23852"/>
      <w:bookmarkStart w:id="145" w:name="_Toc21020"/>
      <w:bookmarkStart w:id="146" w:name="_Toc17576"/>
      <w:bookmarkStart w:id="147" w:name="_Toc19176"/>
      <w:r>
        <w:rPr>
          <w:rFonts w:hint="eastAsia"/>
          <w:color w:val="auto"/>
          <w:highlight w:val="none"/>
        </w:rPr>
        <w:t>封边与展示</w:t>
      </w:r>
      <w:bookmarkEnd w:id="144"/>
      <w:bookmarkEnd w:id="145"/>
      <w:bookmarkEnd w:id="146"/>
      <w:bookmarkEnd w:id="147"/>
    </w:p>
    <w:p w14:paraId="256FBFB5">
      <w:pPr>
        <w:pStyle w:val="58"/>
        <w:ind w:firstLine="420"/>
        <w:rPr>
          <w:rFonts w:hint="eastAsia"/>
          <w:color w:val="auto"/>
          <w:highlight w:val="none"/>
        </w:rPr>
      </w:pPr>
      <w:r>
        <w:rPr>
          <w:rFonts w:hint="eastAsia" w:cs="Times New Roman"/>
          <w:color w:val="auto"/>
          <w:sz w:val="21"/>
          <w:highlight w:val="none"/>
          <w:lang w:val="en-US" w:eastAsia="zh-CN" w:bidi="ar-SA"/>
        </w:rPr>
        <w:t>最终步骤完成标志性零件或组件的安装，并在步骤结束后设置成品展示，强化成就感。</w:t>
      </w:r>
    </w:p>
    <w:p w14:paraId="66C147D4">
      <w:pPr>
        <w:pStyle w:val="107"/>
        <w:bidi w:val="0"/>
        <w:rPr>
          <w:rFonts w:hint="eastAsia"/>
          <w:color w:val="auto"/>
          <w:highlight w:val="none"/>
        </w:rPr>
      </w:pPr>
      <w:bookmarkStart w:id="148" w:name="_Toc12777"/>
      <w:bookmarkStart w:id="149" w:name="_Toc1984"/>
      <w:bookmarkStart w:id="150" w:name="_Toc933"/>
      <w:bookmarkStart w:id="151" w:name="_Toc6750"/>
      <w:r>
        <w:rPr>
          <w:rFonts w:hint="eastAsia"/>
          <w:color w:val="auto"/>
          <w:highlight w:val="none"/>
        </w:rPr>
        <w:t>年龄段适配</w:t>
      </w:r>
      <w:bookmarkEnd w:id="148"/>
      <w:bookmarkEnd w:id="149"/>
      <w:bookmarkEnd w:id="150"/>
      <w:bookmarkEnd w:id="151"/>
    </w:p>
    <w:p w14:paraId="1FFA3424">
      <w:pPr>
        <w:pStyle w:val="58"/>
        <w:ind w:firstLine="420"/>
        <w:rPr>
          <w:rFonts w:hint="eastAsia" w:ascii="宋体" w:hAnsi="宋体" w:eastAsia="宋体" w:cs="宋体"/>
          <w:color w:val="auto"/>
          <w:sz w:val="21"/>
          <w:highlight w:val="none"/>
          <w:lang w:val="en-US" w:eastAsia="zh-CN" w:bidi="ar-SA"/>
        </w:rPr>
      </w:pPr>
      <w:r>
        <w:rPr>
          <w:rFonts w:hint="eastAsia" w:ascii="宋体" w:hAnsi="宋体" w:eastAsia="宋体" w:cs="宋体"/>
          <w:color w:val="auto"/>
          <w:sz w:val="21"/>
          <w:highlight w:val="none"/>
          <w:lang w:val="en-US" w:eastAsia="zh-CN" w:bidi="ar-SA"/>
        </w:rPr>
        <w:t>说明书拼装内容的设计，宜按GB/T 28022—2021给出的儿童发育特征与能力指标进行匹配，可参照以下指导：</w:t>
      </w:r>
    </w:p>
    <w:p w14:paraId="504FDEE0">
      <w:pPr>
        <w:pStyle w:val="134"/>
        <w:bidi w:val="0"/>
        <w:rPr>
          <w:rFonts w:hint="eastAsia" w:ascii="宋体" w:hAnsi="宋体" w:eastAsia="宋体" w:cs="宋体"/>
          <w:color w:val="auto"/>
          <w:highlight w:val="none"/>
        </w:rPr>
      </w:pPr>
      <w:r>
        <w:rPr>
          <w:rFonts w:hint="eastAsia" w:ascii="宋体" w:hAnsi="宋体" w:eastAsia="宋体" w:cs="宋体"/>
          <w:color w:val="auto"/>
          <w:highlight w:val="none"/>
        </w:rPr>
        <w:t>低龄段（3</w:t>
      </w:r>
      <w:r>
        <w:rPr>
          <w:rFonts w:hint="eastAsia" w:ascii="宋体" w:hAnsi="宋体" w:eastAsia="宋体" w:cs="宋体"/>
          <w:color w:val="auto"/>
          <w:highlight w:val="none"/>
          <w:lang w:val="en-US" w:eastAsia="zh-CN"/>
        </w:rPr>
        <w:t>岁以上，8岁以下</w:t>
      </w:r>
      <w:r>
        <w:rPr>
          <w:rFonts w:hint="eastAsia" w:ascii="宋体" w:hAnsi="宋体" w:eastAsia="宋体" w:cs="宋体"/>
          <w:color w:val="auto"/>
          <w:highlight w:val="none"/>
        </w:rPr>
        <w:t>）：步骤拆分宜细，单步零件种类宜控制在1～3种；图示宜放大、色彩对比增强，以图形表达为主，关键操作辅以简短提示；小零件窒息警告宜在显著位置标注。</w:t>
      </w:r>
    </w:p>
    <w:p w14:paraId="1070037E">
      <w:pPr>
        <w:pStyle w:val="134"/>
        <w:bidi w:val="0"/>
        <w:rPr>
          <w:rFonts w:hint="eastAsia" w:ascii="宋体" w:hAnsi="宋体" w:eastAsia="宋体" w:cs="宋体"/>
          <w:color w:val="auto"/>
          <w:highlight w:val="none"/>
        </w:rPr>
      </w:pPr>
      <w:r>
        <w:rPr>
          <w:rFonts w:hint="eastAsia" w:ascii="宋体" w:hAnsi="宋体" w:eastAsia="宋体" w:cs="宋体"/>
          <w:color w:val="auto"/>
          <w:highlight w:val="none"/>
        </w:rPr>
        <w:t>中龄段（8</w:t>
      </w:r>
      <w:r>
        <w:rPr>
          <w:rFonts w:hint="eastAsia" w:ascii="宋体" w:hAnsi="宋体" w:eastAsia="宋体" w:cs="宋体"/>
          <w:color w:val="auto"/>
          <w:highlight w:val="none"/>
          <w:lang w:val="en-US" w:eastAsia="zh-CN"/>
        </w:rPr>
        <w:t>岁以上，12岁以下</w:t>
      </w:r>
      <w:r>
        <w:rPr>
          <w:rFonts w:hint="eastAsia" w:ascii="宋体" w:hAnsi="宋体" w:eastAsia="宋体" w:cs="宋体"/>
          <w:color w:val="auto"/>
          <w:highlight w:val="none"/>
        </w:rPr>
        <w:t>）：宜以图形语言为主导，逐步减少文字依赖，复杂步骤可配局部放大图或多视角图辅助理解</w:t>
      </w:r>
      <w:r>
        <w:rPr>
          <w:rFonts w:hint="eastAsia" w:ascii="宋体" w:hAnsi="宋体" w:eastAsia="宋体" w:cs="宋体"/>
          <w:color w:val="auto"/>
          <w:highlight w:val="none"/>
          <w:lang w:eastAsia="zh-CN"/>
        </w:rPr>
        <w:t>。</w:t>
      </w:r>
    </w:p>
    <w:p w14:paraId="34BA8411">
      <w:pPr>
        <w:pStyle w:val="134"/>
        <w:bidi w:val="0"/>
        <w:rPr>
          <w:rFonts w:hint="eastAsia" w:ascii="宋体" w:hAnsi="宋体" w:eastAsia="宋体" w:cs="宋体"/>
          <w:color w:val="auto"/>
          <w:highlight w:val="none"/>
        </w:rPr>
      </w:pPr>
      <w:r>
        <w:rPr>
          <w:rFonts w:hint="eastAsia" w:ascii="宋体" w:hAnsi="宋体" w:eastAsia="宋体" w:cs="宋体"/>
          <w:color w:val="auto"/>
          <w:highlight w:val="none"/>
        </w:rPr>
        <w:t>高龄段（1</w:t>
      </w:r>
      <w:r>
        <w:rPr>
          <w:rFonts w:hint="eastAsia" w:ascii="宋体" w:hAnsi="宋体" w:eastAsia="宋体" w:cs="宋体"/>
          <w:color w:val="auto"/>
          <w:highlight w:val="none"/>
          <w:lang w:val="en-US" w:eastAsia="zh-CN"/>
        </w:rPr>
        <w:t>2岁以上</w:t>
      </w:r>
      <w:r>
        <w:rPr>
          <w:rFonts w:hint="eastAsia" w:ascii="宋体" w:hAnsi="宋体" w:eastAsia="宋体" w:cs="宋体"/>
          <w:color w:val="auto"/>
          <w:highlight w:val="none"/>
        </w:rPr>
        <w:t>）：可引入机械原理图、结构剖面图、背景介绍等增值内容，支持模块化拼装与多人协作。</w:t>
      </w:r>
    </w:p>
    <w:p w14:paraId="2FDD1241">
      <w:pPr>
        <w:pStyle w:val="134"/>
        <w:bidi w:val="0"/>
        <w:rPr>
          <w:color w:val="auto"/>
          <w:highlight w:val="none"/>
        </w:rPr>
      </w:pPr>
      <w:r>
        <w:rPr>
          <w:rFonts w:hint="eastAsia"/>
          <w:color w:val="auto"/>
          <w:highlight w:val="none"/>
        </w:rPr>
        <w:t>通用要求：各年龄段说明书均宜在首页或显著位置标注适用年龄标识及安全警告图标。</w:t>
      </w:r>
    </w:p>
    <w:p w14:paraId="42B635E4">
      <w:pPr>
        <w:pStyle w:val="106"/>
        <w:bidi w:val="0"/>
        <w:rPr>
          <w:rFonts w:hint="eastAsia"/>
          <w:color w:val="auto"/>
          <w:highlight w:val="none"/>
        </w:rPr>
      </w:pPr>
      <w:bookmarkStart w:id="152" w:name="_Toc15107"/>
      <w:bookmarkStart w:id="153" w:name="_Toc26271"/>
      <w:bookmarkStart w:id="154" w:name="_Toc7028"/>
      <w:bookmarkStart w:id="155" w:name="_Toc10836"/>
      <w:r>
        <w:rPr>
          <w:rFonts w:hint="eastAsia"/>
          <w:color w:val="auto"/>
          <w:highlight w:val="none"/>
        </w:rPr>
        <w:t>电子</w:t>
      </w:r>
      <w:r>
        <w:rPr>
          <w:rFonts w:hint="eastAsia" w:ascii="黑体" w:hAnsi="Times New Roman" w:eastAsia="黑体" w:cs="Times New Roman"/>
          <w:color w:val="auto"/>
          <w:sz w:val="21"/>
          <w:highlight w:val="none"/>
          <w:lang w:val="en-US" w:eastAsia="zh-CN" w:bidi="ar-SA"/>
        </w:rPr>
        <w:t>说明</w:t>
      </w:r>
      <w:bookmarkEnd w:id="152"/>
      <w:bookmarkEnd w:id="153"/>
      <w:bookmarkEnd w:id="154"/>
      <w:bookmarkEnd w:id="155"/>
    </w:p>
    <w:p w14:paraId="5BBD66D0">
      <w:pPr>
        <w:pStyle w:val="134"/>
        <w:numPr>
          <w:ilvl w:val="0"/>
          <w:numId w:val="0"/>
        </w:numPr>
        <w:bidi w:val="0"/>
        <w:ind w:left="425" w:leftChars="0"/>
        <w:rPr>
          <w:color w:val="auto"/>
          <w:highlight w:val="none"/>
        </w:rPr>
      </w:pPr>
      <w:r>
        <w:rPr>
          <w:rFonts w:hint="eastAsia"/>
          <w:color w:val="auto"/>
          <w:highlight w:val="none"/>
          <w:lang w:val="en-US" w:eastAsia="zh-CN"/>
        </w:rPr>
        <w:t>宜</w:t>
      </w:r>
      <w:r>
        <w:rPr>
          <w:rFonts w:hint="eastAsia"/>
          <w:color w:val="auto"/>
          <w:highlight w:val="none"/>
        </w:rPr>
        <w:t>提供免费电子</w:t>
      </w:r>
      <w:r>
        <w:rPr>
          <w:rFonts w:hint="eastAsia"/>
          <w:color w:val="auto"/>
          <w:highlight w:val="none"/>
          <w:lang w:val="en-US" w:eastAsia="zh-CN"/>
        </w:rPr>
        <w:t>版</w:t>
      </w:r>
      <w:r>
        <w:rPr>
          <w:rFonts w:hint="eastAsia"/>
          <w:color w:val="auto"/>
          <w:highlight w:val="none"/>
        </w:rPr>
        <w:t>说明书；可通过二维码</w:t>
      </w:r>
      <w:r>
        <w:rPr>
          <w:rFonts w:hint="eastAsia"/>
          <w:color w:val="auto"/>
          <w:highlight w:val="none"/>
          <w:lang w:eastAsia="zh-CN"/>
        </w:rPr>
        <w:t>、</w:t>
      </w:r>
      <w:r>
        <w:rPr>
          <w:rFonts w:hint="eastAsia"/>
          <w:color w:val="auto"/>
          <w:highlight w:val="none"/>
        </w:rPr>
        <w:t>品牌官方</w:t>
      </w:r>
      <w:r>
        <w:rPr>
          <w:rFonts w:hint="eastAsia"/>
          <w:color w:val="auto"/>
          <w:highlight w:val="none"/>
          <w:lang w:val="en-US" w:eastAsia="zh-CN"/>
        </w:rPr>
        <w:t>等渠道获取</w:t>
      </w:r>
      <w:r>
        <w:rPr>
          <w:rFonts w:hint="eastAsia"/>
          <w:color w:val="auto"/>
          <w:highlight w:val="none"/>
        </w:rPr>
        <w:t>。</w:t>
      </w:r>
    </w:p>
    <w:p w14:paraId="0C1E1C9F">
      <w:pPr>
        <w:pStyle w:val="58"/>
        <w:ind w:firstLine="420"/>
      </w:pPr>
    </w:p>
    <w:p w14:paraId="7A3CB82E">
      <w:pPr>
        <w:pStyle w:val="58"/>
        <w:ind w:firstLine="420"/>
      </w:pPr>
    </w:p>
    <w:p w14:paraId="6DBEA9F4">
      <w:pPr>
        <w:pStyle w:val="58"/>
        <w:ind w:firstLine="420"/>
        <w:sectPr>
          <w:pgSz w:w="11906" w:h="16838"/>
          <w:pgMar w:top="1928" w:right="1134" w:bottom="1134" w:left="1134" w:header="1418" w:footer="1134" w:gutter="284"/>
          <w:pgNumType w:start="1"/>
          <w:cols w:space="425" w:num="1"/>
          <w:formProt w:val="0"/>
          <w:docGrid w:linePitch="312" w:charSpace="0"/>
        </w:sectPr>
      </w:pPr>
    </w:p>
    <w:bookmarkEnd w:id="26"/>
    <w:p w14:paraId="39288C4C">
      <w:pPr>
        <w:pStyle w:val="200"/>
        <w:bidi w:val="0"/>
      </w:pPr>
      <w:bookmarkStart w:id="156" w:name="BookMark5"/>
    </w:p>
    <w:p w14:paraId="31567CE1">
      <w:pPr>
        <w:pStyle w:val="201"/>
        <w:bidi w:val="0"/>
      </w:pPr>
    </w:p>
    <w:p w14:paraId="3B6C4881">
      <w:pPr>
        <w:pStyle w:val="78"/>
        <w:bidi w:val="0"/>
      </w:pPr>
      <w:bookmarkStart w:id="157" w:name="_Toc25210"/>
      <w:bookmarkStart w:id="158" w:name="_Toc24086"/>
      <w:bookmarkStart w:id="159" w:name="_Toc6144"/>
      <w:r>
        <w:br w:type="textWrapping"/>
      </w:r>
      <w:r>
        <w:rPr>
          <w:rFonts w:hint="eastAsia"/>
          <w:lang w:eastAsia="zh-CN"/>
        </w:rPr>
        <w:t>（资料性）</w:t>
      </w:r>
      <w:r>
        <w:rPr>
          <w:rFonts w:hint="eastAsia"/>
          <w:lang w:eastAsia="zh-CN"/>
        </w:rPr>
        <w:br w:type="textWrapping"/>
      </w:r>
      <w:bookmarkEnd w:id="157"/>
      <w:bookmarkEnd w:id="158"/>
      <w:r>
        <w:rPr>
          <w:rFonts w:hint="eastAsia"/>
          <w:lang w:val="en-US" w:eastAsia="zh-CN"/>
        </w:rPr>
        <w:t>拼装图形示例</w:t>
      </w:r>
      <w:bookmarkEnd w:id="159"/>
    </w:p>
    <w:tbl>
      <w:tblPr>
        <w:tblStyle w:val="29"/>
        <w:tblW w:w="0" w:type="auto"/>
        <w:tblInd w:w="-8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0"/>
        <w:gridCol w:w="1731"/>
        <w:gridCol w:w="4157"/>
        <w:gridCol w:w="2943"/>
      </w:tblGrid>
      <w:tr w14:paraId="0F8AC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600" w:type="dxa"/>
            <w:vAlign w:val="center"/>
          </w:tcPr>
          <w:p w14:paraId="4183C7F6">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序号</w:t>
            </w:r>
          </w:p>
        </w:tc>
        <w:tc>
          <w:tcPr>
            <w:tcW w:w="1731" w:type="dxa"/>
            <w:vAlign w:val="center"/>
          </w:tcPr>
          <w:p w14:paraId="0A9562F4">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名称</w:t>
            </w:r>
          </w:p>
        </w:tc>
        <w:tc>
          <w:tcPr>
            <w:tcW w:w="4157" w:type="dxa"/>
            <w:vAlign w:val="center"/>
          </w:tcPr>
          <w:p w14:paraId="0E9E829F">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图形</w:t>
            </w:r>
          </w:p>
        </w:tc>
        <w:tc>
          <w:tcPr>
            <w:tcW w:w="2943" w:type="dxa"/>
            <w:vAlign w:val="center"/>
          </w:tcPr>
          <w:p w14:paraId="212ECB31">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说明</w:t>
            </w:r>
          </w:p>
        </w:tc>
      </w:tr>
      <w:tr w14:paraId="03F25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2F4E52C4">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1</w:t>
            </w:r>
          </w:p>
        </w:tc>
        <w:tc>
          <w:tcPr>
            <w:tcW w:w="1731" w:type="dxa"/>
            <w:vAlign w:val="center"/>
          </w:tcPr>
          <w:p w14:paraId="252A88C4">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rPr>
            </w:pPr>
            <w:r>
              <w:rPr>
                <w:rFonts w:hint="eastAsia" w:ascii="宋体" w:hAnsi="宋体" w:eastAsia="宋体" w:cs="宋体"/>
                <w:sz w:val="18"/>
                <w:szCs w:val="18"/>
                <w:vertAlign w:val="baseline"/>
              </w:rPr>
              <w:t>45°等距视角</w:t>
            </w:r>
          </w:p>
        </w:tc>
        <w:tc>
          <w:tcPr>
            <w:tcW w:w="4157" w:type="dxa"/>
            <w:vAlign w:val="center"/>
          </w:tcPr>
          <w:p w14:paraId="441F6F53">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1906270"/>
                  <wp:effectExtent l="0" t="0" r="11430" b="17780"/>
                  <wp:docPr id="10" name="图片 10" descr="D:/360安全浏览器下载/拆解塑料积木玩具说明书图形 (2).jpeg拆解塑料积木玩具说明书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D:/360安全浏览器下载/拆解塑料积木玩具说明书图形 (2).jpeg拆解塑料积木玩具说明书图形 (2)"/>
                          <pic:cNvPicPr>
                            <a:picLocks noChangeAspect="1"/>
                          </pic:cNvPicPr>
                        </pic:nvPicPr>
                        <pic:blipFill>
                          <a:blip r:embed="rId14"/>
                          <a:srcRect t="22" b="22"/>
                          <a:stretch>
                            <a:fillRect/>
                          </a:stretch>
                        </pic:blipFill>
                        <pic:spPr>
                          <a:xfrm>
                            <a:off x="0" y="0"/>
                            <a:ext cx="2160270" cy="1906270"/>
                          </a:xfrm>
                          <a:prstGeom prst="rect">
                            <a:avLst/>
                          </a:prstGeom>
                        </pic:spPr>
                      </pic:pic>
                    </a:graphicData>
                  </a:graphic>
                </wp:inline>
              </w:drawing>
            </w:r>
          </w:p>
        </w:tc>
        <w:tc>
          <w:tcPr>
            <w:tcW w:w="2943" w:type="dxa"/>
            <w:vAlign w:val="center"/>
          </w:tcPr>
          <w:p w14:paraId="1D26A379">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积木零件及模型以45°等距视角统一呈现，保持三面可见</w:t>
            </w:r>
          </w:p>
        </w:tc>
      </w:tr>
      <w:tr w14:paraId="39556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0893671E">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2</w:t>
            </w:r>
          </w:p>
        </w:tc>
        <w:tc>
          <w:tcPr>
            <w:tcW w:w="1731" w:type="dxa"/>
            <w:vAlign w:val="center"/>
          </w:tcPr>
          <w:p w14:paraId="37D72923">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主图</w:t>
            </w:r>
          </w:p>
        </w:tc>
        <w:tc>
          <w:tcPr>
            <w:tcW w:w="4157" w:type="dxa"/>
            <w:vAlign w:val="center"/>
          </w:tcPr>
          <w:p w14:paraId="58B71B96">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1508760"/>
                  <wp:effectExtent l="0" t="0" r="11430" b="15240"/>
                  <wp:docPr id="9" name="图片 9" descr="拆解塑料积木玩具说明书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拆解塑料积木玩具说明书图形 (4)"/>
                          <pic:cNvPicPr>
                            <a:picLocks noChangeAspect="1"/>
                          </pic:cNvPicPr>
                        </pic:nvPicPr>
                        <pic:blipFill>
                          <a:blip r:embed="rId15"/>
                          <a:stretch>
                            <a:fillRect/>
                          </a:stretch>
                        </pic:blipFill>
                        <pic:spPr>
                          <a:xfrm>
                            <a:off x="0" y="0"/>
                            <a:ext cx="2160270" cy="1508760"/>
                          </a:xfrm>
                          <a:prstGeom prst="rect">
                            <a:avLst/>
                          </a:prstGeom>
                        </pic:spPr>
                      </pic:pic>
                    </a:graphicData>
                  </a:graphic>
                </wp:inline>
              </w:drawing>
            </w:r>
          </w:p>
        </w:tc>
        <w:tc>
          <w:tcPr>
            <w:tcW w:w="2943" w:type="dxa"/>
            <w:vAlign w:val="center"/>
          </w:tcPr>
          <w:p w14:paraId="7B418610">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展示本步骤</w:t>
            </w:r>
            <w:r>
              <w:rPr>
                <w:rFonts w:hint="eastAsia" w:ascii="宋体" w:hAnsi="宋体" w:eastAsia="宋体" w:cs="宋体"/>
                <w:color w:val="auto"/>
                <w:sz w:val="18"/>
                <w:szCs w:val="18"/>
                <w:highlight w:val="none"/>
                <w:lang w:val="en-US" w:eastAsia="zh-CN" w:bidi="ar-SA"/>
              </w:rPr>
              <w:t>拼装</w:t>
            </w:r>
            <w:r>
              <w:rPr>
                <w:rFonts w:hint="eastAsia" w:ascii="宋体" w:hAnsi="宋体" w:eastAsia="宋体" w:cs="宋体"/>
                <w:color w:val="auto"/>
                <w:sz w:val="18"/>
                <w:szCs w:val="18"/>
                <w:highlight w:val="none"/>
                <w:lang w:val="en-US" w:eastAsia="zh-CN"/>
              </w:rPr>
              <w:t>完成后模型状态，呈现所有新增零件与既有结构的连接关系</w:t>
            </w:r>
          </w:p>
        </w:tc>
      </w:tr>
      <w:tr w14:paraId="08AF59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463083D7">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3</w:t>
            </w:r>
          </w:p>
        </w:tc>
        <w:tc>
          <w:tcPr>
            <w:tcW w:w="1731" w:type="dxa"/>
            <w:vAlign w:val="center"/>
          </w:tcPr>
          <w:p w14:paraId="59CF29FB">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小图</w:t>
            </w:r>
          </w:p>
        </w:tc>
        <w:tc>
          <w:tcPr>
            <w:tcW w:w="4157" w:type="dxa"/>
            <w:vAlign w:val="center"/>
          </w:tcPr>
          <w:p w14:paraId="24A7347B">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eastAsia="zh-CN"/>
              </w:rPr>
              <w:drawing>
                <wp:inline distT="0" distB="0" distL="114300" distR="114300">
                  <wp:extent cx="2160270" cy="1941195"/>
                  <wp:effectExtent l="0" t="0" r="11430" b="1905"/>
                  <wp:docPr id="8" name="图片 8" descr="拆解塑料积木玩具说明书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拆解塑料积木玩具说明书图形 (3)"/>
                          <pic:cNvPicPr>
                            <a:picLocks noChangeAspect="1"/>
                          </pic:cNvPicPr>
                        </pic:nvPicPr>
                        <pic:blipFill>
                          <a:blip r:embed="rId16"/>
                          <a:stretch>
                            <a:fillRect/>
                          </a:stretch>
                        </pic:blipFill>
                        <pic:spPr>
                          <a:xfrm>
                            <a:off x="0" y="0"/>
                            <a:ext cx="2160270" cy="1941195"/>
                          </a:xfrm>
                          <a:prstGeom prst="rect">
                            <a:avLst/>
                          </a:prstGeom>
                        </pic:spPr>
                      </pic:pic>
                    </a:graphicData>
                  </a:graphic>
                </wp:inline>
              </w:drawing>
            </w:r>
          </w:p>
        </w:tc>
        <w:tc>
          <w:tcPr>
            <w:tcW w:w="2943" w:type="dxa"/>
            <w:vAlign w:val="center"/>
          </w:tcPr>
          <w:p w14:paraId="5C54296B">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展示需先预拼为子组件、再整体安装至主模型的局部结构，宜置于主图附近并配合指引线或编号标明安装位置</w:t>
            </w:r>
          </w:p>
        </w:tc>
      </w:tr>
      <w:tr w14:paraId="2E0D2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2C5D1561">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4</w:t>
            </w:r>
          </w:p>
        </w:tc>
        <w:tc>
          <w:tcPr>
            <w:tcW w:w="1731" w:type="dxa"/>
            <w:vAlign w:val="center"/>
          </w:tcPr>
          <w:p w14:paraId="2711DDCA">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rPr>
            </w:pPr>
            <w:r>
              <w:rPr>
                <w:rFonts w:hint="eastAsia" w:ascii="宋体" w:hAnsi="宋体" w:eastAsia="宋体" w:cs="宋体"/>
                <w:sz w:val="18"/>
                <w:szCs w:val="18"/>
                <w:vertAlign w:val="baseline"/>
              </w:rPr>
              <w:t>零件提示区</w:t>
            </w:r>
          </w:p>
        </w:tc>
        <w:tc>
          <w:tcPr>
            <w:tcW w:w="4157" w:type="dxa"/>
            <w:vAlign w:val="center"/>
          </w:tcPr>
          <w:p w14:paraId="44F31C10">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845185" cy="2160270"/>
                  <wp:effectExtent l="0" t="0" r="11430" b="12065"/>
                  <wp:docPr id="11" name="图片 11" descr="拆解塑料积木玩具说明书图形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拆解塑料积木玩具说明书图形 (5)"/>
                          <pic:cNvPicPr>
                            <a:picLocks noChangeAspect="1"/>
                          </pic:cNvPicPr>
                        </pic:nvPicPr>
                        <pic:blipFill>
                          <a:blip r:embed="rId17"/>
                          <a:srcRect t="6863" b="5442"/>
                          <a:stretch>
                            <a:fillRect/>
                          </a:stretch>
                        </pic:blipFill>
                        <pic:spPr>
                          <a:xfrm rot="16200000">
                            <a:off x="0" y="0"/>
                            <a:ext cx="845185" cy="2160270"/>
                          </a:xfrm>
                          <a:prstGeom prst="rect">
                            <a:avLst/>
                          </a:prstGeom>
                        </pic:spPr>
                      </pic:pic>
                    </a:graphicData>
                  </a:graphic>
                </wp:inline>
              </w:drawing>
            </w:r>
          </w:p>
        </w:tc>
        <w:tc>
          <w:tcPr>
            <w:tcW w:w="2943" w:type="dxa"/>
            <w:vAlign w:val="center"/>
          </w:tcPr>
          <w:p w14:paraId="5BB6B8BB">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宜以白底、蓝底等底色突出显示</w:t>
            </w:r>
            <w:r>
              <w:rPr>
                <w:rFonts w:hint="eastAsia" w:ascii="宋体" w:hAnsi="宋体" w:eastAsia="宋体" w:cs="宋体"/>
                <w:color w:val="auto"/>
                <w:sz w:val="18"/>
                <w:szCs w:val="18"/>
                <w:highlight w:val="none"/>
                <w:lang w:val="en-US" w:eastAsia="zh-CN" w:bidi="ar-SA"/>
              </w:rPr>
              <w:t>该步骤</w:t>
            </w:r>
            <w:r>
              <w:rPr>
                <w:rFonts w:hint="eastAsia" w:ascii="宋体" w:hAnsi="宋体" w:eastAsia="宋体" w:cs="宋体"/>
                <w:color w:val="auto"/>
                <w:sz w:val="18"/>
                <w:szCs w:val="18"/>
                <w:highlight w:val="none"/>
                <w:lang w:val="en-US" w:eastAsia="zh-CN"/>
              </w:rPr>
              <w:t>所需零件的图示</w:t>
            </w:r>
          </w:p>
        </w:tc>
      </w:tr>
      <w:tr w14:paraId="5F236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462EAD86">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5</w:t>
            </w:r>
          </w:p>
        </w:tc>
        <w:tc>
          <w:tcPr>
            <w:tcW w:w="1731" w:type="dxa"/>
            <w:vAlign w:val="center"/>
          </w:tcPr>
          <w:p w14:paraId="31CE1BEE">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rPr>
            </w:pPr>
            <w:r>
              <w:rPr>
                <w:rFonts w:hint="eastAsia" w:ascii="宋体" w:hAnsi="宋体" w:eastAsia="宋体" w:cs="宋体"/>
                <w:sz w:val="18"/>
                <w:szCs w:val="18"/>
                <w:vertAlign w:val="baseline"/>
              </w:rPr>
              <w:t>轮廓线</w:t>
            </w:r>
          </w:p>
        </w:tc>
        <w:tc>
          <w:tcPr>
            <w:tcW w:w="4157" w:type="dxa"/>
            <w:vAlign w:val="center"/>
          </w:tcPr>
          <w:p w14:paraId="0BAE63E8">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2062480"/>
                  <wp:effectExtent l="0" t="0" r="11430" b="13970"/>
                  <wp:docPr id="12" name="图片 12" descr="拆解塑料积木玩具说明书图形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拆解塑料积木玩具说明书图形 (6)"/>
                          <pic:cNvPicPr>
                            <a:picLocks noChangeAspect="1"/>
                          </pic:cNvPicPr>
                        </pic:nvPicPr>
                        <pic:blipFill>
                          <a:blip r:embed="rId18"/>
                          <a:srcRect t="10358" b="18061"/>
                          <a:stretch>
                            <a:fillRect/>
                          </a:stretch>
                        </pic:blipFill>
                        <pic:spPr>
                          <a:xfrm>
                            <a:off x="0" y="0"/>
                            <a:ext cx="2160270" cy="2062480"/>
                          </a:xfrm>
                          <a:prstGeom prst="rect">
                            <a:avLst/>
                          </a:prstGeom>
                        </pic:spPr>
                      </pic:pic>
                    </a:graphicData>
                  </a:graphic>
                </wp:inline>
              </w:drawing>
            </w:r>
          </w:p>
        </w:tc>
        <w:tc>
          <w:tcPr>
            <w:tcW w:w="2943" w:type="dxa"/>
            <w:vAlign w:val="center"/>
          </w:tcPr>
          <w:p w14:paraId="66C1FD31">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当前新增零件描边，突出安装位置</w:t>
            </w:r>
          </w:p>
        </w:tc>
      </w:tr>
      <w:tr w14:paraId="16DAD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77CFE05C">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6</w:t>
            </w:r>
          </w:p>
        </w:tc>
        <w:tc>
          <w:tcPr>
            <w:tcW w:w="1731" w:type="dxa"/>
            <w:vAlign w:val="center"/>
          </w:tcPr>
          <w:p w14:paraId="485D5EA8">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rPr>
            </w:pPr>
            <w:r>
              <w:rPr>
                <w:rFonts w:hint="eastAsia" w:ascii="宋体" w:hAnsi="宋体" w:eastAsia="宋体" w:cs="宋体"/>
                <w:sz w:val="18"/>
                <w:szCs w:val="18"/>
                <w:lang w:val="en-US" w:eastAsia="zh-CN"/>
              </w:rPr>
              <w:t>新旧零件区分</w:t>
            </w:r>
          </w:p>
        </w:tc>
        <w:tc>
          <w:tcPr>
            <w:tcW w:w="4157" w:type="dxa"/>
            <w:vAlign w:val="center"/>
          </w:tcPr>
          <w:p w14:paraId="3FF99C6D">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1635760"/>
                  <wp:effectExtent l="0" t="0" r="11430" b="2540"/>
                  <wp:docPr id="13" name="图片 13" descr="D:/360安全浏览器下载/拆解塑料积木玩具说明书图形 (2).png拆解塑料积木玩具说明书图形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360安全浏览器下载/拆解塑料积木玩具说明书图形 (2).png拆解塑料积木玩具说明书图形 (2)"/>
                          <pic:cNvPicPr>
                            <a:picLocks noChangeAspect="1"/>
                          </pic:cNvPicPr>
                        </pic:nvPicPr>
                        <pic:blipFill>
                          <a:blip r:embed="rId19"/>
                          <a:srcRect/>
                          <a:stretch>
                            <a:fillRect/>
                          </a:stretch>
                        </pic:blipFill>
                        <pic:spPr>
                          <a:xfrm>
                            <a:off x="0" y="0"/>
                            <a:ext cx="2160270" cy="1635760"/>
                          </a:xfrm>
                          <a:prstGeom prst="rect">
                            <a:avLst/>
                          </a:prstGeom>
                        </pic:spPr>
                      </pic:pic>
                    </a:graphicData>
                  </a:graphic>
                </wp:inline>
              </w:drawing>
            </w:r>
          </w:p>
        </w:tc>
        <w:tc>
          <w:tcPr>
            <w:tcW w:w="2943" w:type="dxa"/>
            <w:vAlign w:val="center"/>
          </w:tcPr>
          <w:p w14:paraId="69164C21">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当前步骤新增零件以高饱和色彩与显眼轮廓线呈现，已完成的旧结构以浅灰色或半透明淡化处理</w:t>
            </w:r>
          </w:p>
        </w:tc>
      </w:tr>
      <w:tr w14:paraId="7FB0B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523F84DD">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7</w:t>
            </w:r>
          </w:p>
        </w:tc>
        <w:tc>
          <w:tcPr>
            <w:tcW w:w="1731" w:type="dxa"/>
            <w:vAlign w:val="center"/>
          </w:tcPr>
          <w:p w14:paraId="05095414">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rPr>
            </w:pPr>
            <w:r>
              <w:rPr>
                <w:rFonts w:hint="eastAsia" w:ascii="宋体" w:hAnsi="宋体" w:eastAsia="宋体" w:cs="宋体"/>
                <w:sz w:val="18"/>
                <w:szCs w:val="18"/>
                <w:lang w:val="en-US" w:eastAsia="zh-CN"/>
              </w:rPr>
              <w:t>编号标注</w:t>
            </w:r>
          </w:p>
        </w:tc>
        <w:tc>
          <w:tcPr>
            <w:tcW w:w="4157" w:type="dxa"/>
            <w:vAlign w:val="center"/>
          </w:tcPr>
          <w:p w14:paraId="5DFF8A1C">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2927985"/>
                  <wp:effectExtent l="0" t="0" r="11430" b="5715"/>
                  <wp:docPr id="15" name="图片 15" descr="D:/360安全浏览器下载/拆解塑料积木玩具说明书图形.png拆解塑料积木玩具说明书图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360安全浏览器下载/拆解塑料积木玩具说明书图形.png拆解塑料积木玩具说明书图形"/>
                          <pic:cNvPicPr>
                            <a:picLocks noChangeAspect="1"/>
                          </pic:cNvPicPr>
                        </pic:nvPicPr>
                        <pic:blipFill>
                          <a:blip r:embed="rId20"/>
                          <a:srcRect l="3131" t="6146" r="10571" b="8059"/>
                          <a:stretch>
                            <a:fillRect/>
                          </a:stretch>
                        </pic:blipFill>
                        <pic:spPr>
                          <a:xfrm>
                            <a:off x="0" y="0"/>
                            <a:ext cx="2160270" cy="2927985"/>
                          </a:xfrm>
                          <a:prstGeom prst="rect">
                            <a:avLst/>
                          </a:prstGeom>
                        </pic:spPr>
                      </pic:pic>
                    </a:graphicData>
                  </a:graphic>
                </wp:inline>
              </w:drawing>
            </w:r>
          </w:p>
        </w:tc>
        <w:tc>
          <w:tcPr>
            <w:tcW w:w="2943" w:type="dxa"/>
            <w:vAlign w:val="center"/>
          </w:tcPr>
          <w:p w14:paraId="13276AB3">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关键或易混淆零件/组件宜标注编号，编号与零件清单/步骤对应</w:t>
            </w:r>
          </w:p>
        </w:tc>
      </w:tr>
      <w:tr w14:paraId="7D222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32C58BE3">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8</w:t>
            </w:r>
          </w:p>
        </w:tc>
        <w:tc>
          <w:tcPr>
            <w:tcW w:w="1731" w:type="dxa"/>
            <w:vAlign w:val="center"/>
          </w:tcPr>
          <w:p w14:paraId="38CA687F">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其他展示图</w:t>
            </w:r>
          </w:p>
        </w:tc>
        <w:tc>
          <w:tcPr>
            <w:tcW w:w="4157" w:type="dxa"/>
            <w:vAlign w:val="center"/>
          </w:tcPr>
          <w:p w14:paraId="722B10C9">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3735070"/>
                  <wp:effectExtent l="0" t="0" r="11430" b="17780"/>
                  <wp:docPr id="14" name="图片 14" descr="D:/360安全浏览器下载/拆解塑料积木玩具说明书图形 (3).png拆解塑料积木玩具说明书图形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D:/360安全浏览器下载/拆解塑料积木玩具说明书图形 (3).png拆解塑料积木玩具说明书图形 (3)"/>
                          <pic:cNvPicPr>
                            <a:picLocks noChangeAspect="1"/>
                          </pic:cNvPicPr>
                        </pic:nvPicPr>
                        <pic:blipFill>
                          <a:blip r:embed="rId21"/>
                          <a:srcRect t="22" b="22"/>
                          <a:stretch>
                            <a:fillRect/>
                          </a:stretch>
                        </pic:blipFill>
                        <pic:spPr>
                          <a:xfrm>
                            <a:off x="0" y="0"/>
                            <a:ext cx="2160270" cy="3735070"/>
                          </a:xfrm>
                          <a:prstGeom prst="rect">
                            <a:avLst/>
                          </a:prstGeom>
                        </pic:spPr>
                      </pic:pic>
                    </a:graphicData>
                  </a:graphic>
                </wp:inline>
              </w:drawing>
            </w:r>
          </w:p>
        </w:tc>
        <w:tc>
          <w:tcPr>
            <w:tcW w:w="2943" w:type="dxa"/>
            <w:vAlign w:val="center"/>
          </w:tcPr>
          <w:p w14:paraId="7779F4C2">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用于补充展示贴纸</w:t>
            </w:r>
            <w:r>
              <w:rPr>
                <w:rFonts w:hint="eastAsia" w:ascii="宋体" w:hAnsi="宋体" w:eastAsia="宋体" w:cs="宋体"/>
                <w:color w:val="auto"/>
                <w:sz w:val="18"/>
                <w:szCs w:val="18"/>
                <w:highlight w:val="none"/>
                <w:lang w:val="en-US" w:eastAsia="zh-CN" w:bidi="ar-SA"/>
              </w:rPr>
              <w:t>使用</w:t>
            </w:r>
            <w:r>
              <w:rPr>
                <w:rFonts w:hint="eastAsia" w:ascii="宋体" w:hAnsi="宋体" w:eastAsia="宋体" w:cs="宋体"/>
                <w:color w:val="auto"/>
                <w:sz w:val="18"/>
                <w:szCs w:val="18"/>
                <w:highlight w:val="none"/>
                <w:lang w:val="en-US" w:eastAsia="zh-CN"/>
              </w:rPr>
              <w:t>提示、特殊零件细节或内部结构组装关系等，作为主图与小图的补充，辅助理解拼装细节</w:t>
            </w:r>
          </w:p>
        </w:tc>
      </w:tr>
      <w:tr w14:paraId="17D3A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0" w:type="dxa"/>
            <w:vAlign w:val="center"/>
          </w:tcPr>
          <w:p w14:paraId="02406A84">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val="en-US" w:eastAsia="zh-CN"/>
              </w:rPr>
            </w:pPr>
            <w:r>
              <w:rPr>
                <w:rFonts w:hint="eastAsia" w:ascii="宋体" w:hAnsi="宋体" w:eastAsia="宋体" w:cs="宋体"/>
                <w:sz w:val="18"/>
                <w:szCs w:val="18"/>
                <w:vertAlign w:val="baseline"/>
                <w:lang w:val="en-US" w:eastAsia="zh-CN"/>
              </w:rPr>
              <w:t>9</w:t>
            </w:r>
          </w:p>
        </w:tc>
        <w:tc>
          <w:tcPr>
            <w:tcW w:w="1731" w:type="dxa"/>
            <w:vAlign w:val="center"/>
          </w:tcPr>
          <w:p w14:paraId="31DDAA02">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比例尺</w:t>
            </w:r>
          </w:p>
        </w:tc>
        <w:tc>
          <w:tcPr>
            <w:tcW w:w="4157" w:type="dxa"/>
            <w:vAlign w:val="center"/>
          </w:tcPr>
          <w:p w14:paraId="292CD217">
            <w:pPr>
              <w:pStyle w:val="58"/>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宋体"/>
                <w:sz w:val="18"/>
                <w:szCs w:val="18"/>
                <w:vertAlign w:val="baseline"/>
                <w:lang w:eastAsia="zh-CN"/>
              </w:rPr>
            </w:pPr>
            <w:r>
              <w:rPr>
                <w:rFonts w:hint="eastAsia" w:ascii="宋体" w:hAnsi="宋体" w:eastAsia="宋体" w:cs="宋体"/>
                <w:sz w:val="18"/>
                <w:szCs w:val="18"/>
                <w:vertAlign w:val="baseline"/>
                <w:lang w:eastAsia="zh-CN"/>
              </w:rPr>
              <w:drawing>
                <wp:inline distT="0" distB="0" distL="114300" distR="114300">
                  <wp:extent cx="2160270" cy="2062480"/>
                  <wp:effectExtent l="0" t="0" r="11430" b="13970"/>
                  <wp:docPr id="16" name="图片 16" descr="拆解塑料积木玩具说明书图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拆解塑料积木玩具说明书图形"/>
                          <pic:cNvPicPr>
                            <a:picLocks noChangeAspect="1"/>
                          </pic:cNvPicPr>
                        </pic:nvPicPr>
                        <pic:blipFill>
                          <a:blip r:embed="rId22"/>
                          <a:srcRect/>
                          <a:stretch>
                            <a:fillRect/>
                          </a:stretch>
                        </pic:blipFill>
                        <pic:spPr>
                          <a:xfrm>
                            <a:off x="0" y="0"/>
                            <a:ext cx="2160270" cy="2062480"/>
                          </a:xfrm>
                          <a:prstGeom prst="rect">
                            <a:avLst/>
                          </a:prstGeom>
                        </pic:spPr>
                      </pic:pic>
                    </a:graphicData>
                  </a:graphic>
                </wp:inline>
              </w:drawing>
            </w:r>
          </w:p>
        </w:tc>
        <w:tc>
          <w:tcPr>
            <w:tcW w:w="2943" w:type="dxa"/>
            <w:vAlign w:val="center"/>
          </w:tcPr>
          <w:p w14:paraId="3C2837EA">
            <w:pPr>
              <w:pStyle w:val="58"/>
              <w:keepNext w:val="0"/>
              <w:keepLines w:val="0"/>
              <w:pageBreakBefore w:val="0"/>
              <w:widowControl/>
              <w:kinsoku/>
              <w:wordWrap/>
              <w:overflowPunct/>
              <w:topLinePunct w:val="0"/>
              <w:autoSpaceDE w:val="0"/>
              <w:autoSpaceDN w:val="0"/>
              <w:bidi w:val="0"/>
              <w:adjustRightInd/>
              <w:snapToGrid/>
              <w:ind w:firstLine="0" w:firstLineChars="0"/>
              <w:jc w:val="both"/>
              <w:textAlignment w:val="auto"/>
              <w:rPr>
                <w:rFonts w:hint="eastAsia" w:ascii="宋体" w:hAnsi="宋体" w:eastAsia="宋体" w:cs="宋体"/>
                <w:sz w:val="18"/>
                <w:szCs w:val="18"/>
                <w:vertAlign w:val="baseline"/>
                <w:lang w:eastAsia="zh-CN"/>
              </w:rPr>
            </w:pPr>
            <w:r>
              <w:rPr>
                <w:rFonts w:hint="eastAsia" w:ascii="宋体" w:hAnsi="宋体" w:eastAsia="宋体" w:cs="宋体"/>
                <w:color w:val="auto"/>
                <w:sz w:val="18"/>
                <w:szCs w:val="18"/>
                <w:highlight w:val="none"/>
                <w:lang w:val="en-US" w:eastAsia="zh-CN"/>
              </w:rPr>
              <w:t>对易混淆或不易辨认的零件，宜设置实物比例尺，供用户直接比对实际尺寸；宜采用1∶1比例</w:t>
            </w:r>
            <w:r>
              <w:rPr>
                <w:rFonts w:hint="eastAsia" w:ascii="宋体" w:hAnsi="宋体" w:eastAsia="宋体" w:cs="宋体"/>
                <w:color w:val="auto"/>
                <w:sz w:val="18"/>
                <w:szCs w:val="18"/>
                <w:highlight w:val="none"/>
                <w:lang w:val="en-US" w:eastAsia="zh-CN" w:bidi="ar-SA"/>
              </w:rPr>
              <w:t>印制</w:t>
            </w:r>
            <w:r>
              <w:rPr>
                <w:rFonts w:hint="eastAsia" w:ascii="宋体" w:hAnsi="宋体" w:eastAsia="宋体" w:cs="宋体"/>
                <w:color w:val="auto"/>
                <w:sz w:val="18"/>
                <w:szCs w:val="18"/>
                <w:highlight w:val="none"/>
                <w:lang w:val="en-US" w:eastAsia="zh-CN"/>
              </w:rPr>
              <w:t>，并须在比例尺旁清晰标注比例值</w:t>
            </w:r>
          </w:p>
        </w:tc>
      </w:tr>
      <w:bookmarkEnd w:id="156"/>
    </w:tbl>
    <w:p w14:paraId="43EDD27D">
      <w:pPr>
        <w:pStyle w:val="58"/>
        <w:bidi w:val="0"/>
        <w:ind w:firstLine="0" w:firstLineChars="0"/>
        <w:jc w:val="center"/>
        <w:rPr>
          <w:rFonts w:hint="eastAsia" w:eastAsia="宋体"/>
          <w:lang w:eastAsia="zh-CN"/>
        </w:rPr>
      </w:pPr>
      <w:bookmarkStart w:id="160" w:name="BookMark8"/>
    </w:p>
    <w:p w14:paraId="1AC81E48">
      <w:pPr>
        <w:pStyle w:val="58"/>
        <w:bidi w:val="0"/>
        <w:ind w:firstLine="0" w:firstLineChars="0"/>
        <w:jc w:val="center"/>
        <w:rPr>
          <w:rFonts w:hint="eastAsia" w:eastAsia="宋体"/>
          <w:lang w:eastAsia="zh-CN"/>
        </w:rPr>
      </w:pPr>
      <w:r>
        <w:rPr>
          <w:rFonts w:hint="eastAsia" w:eastAsia="宋体"/>
          <w:lang w:eastAsia="zh-CN"/>
        </w:rPr>
        <w:drawing>
          <wp:inline distT="0" distB="0" distL="114300" distR="114300">
            <wp:extent cx="1485900" cy="317500"/>
            <wp:effectExtent l="0" t="0" r="0" b="6350"/>
            <wp:docPr id="3" name="图片 3" descr="1"/>
            <wp:cNvGraphicFramePr/>
            <a:graphic xmlns:a="http://schemas.openxmlformats.org/drawingml/2006/main">
              <a:graphicData uri="http://schemas.openxmlformats.org/drawingml/2006/picture">
                <pic:pic xmlns:pic="http://schemas.openxmlformats.org/drawingml/2006/picture">
                  <pic:nvPicPr>
                    <pic:cNvPr id="3" name="图片 3" descr="1"/>
                    <pic:cNvPicPr/>
                  </pic:nvPicPr>
                  <pic:blipFill>
                    <a:blip r:embed="rId23"/>
                    <a:stretch>
                      <a:fillRect/>
                    </a:stretch>
                  </pic:blipFill>
                  <pic:spPr>
                    <a:xfrm>
                      <a:off x="0" y="0"/>
                      <a:ext cx="1485900" cy="317500"/>
                    </a:xfrm>
                    <a:prstGeom prst="rect">
                      <a:avLst/>
                    </a:prstGeom>
                  </pic:spPr>
                </pic:pic>
              </a:graphicData>
            </a:graphic>
          </wp:inline>
        </w:drawing>
      </w:r>
      <w:bookmarkEnd w:id="160"/>
    </w:p>
    <w:sectPr>
      <w:pgSz w:w="11906" w:h="16838"/>
      <w:pgMar w:top="1928" w:right="1134" w:bottom="1134" w:left="1134" w:header="1418" w:footer="1134" w:gutter="284"/>
      <w:pgNumType w:fmt="decimal"/>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326B6D">
    <w:pPr>
      <w:pStyle w:val="18"/>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18E29D">
    <w:pPr>
      <w:pStyle w:val="18"/>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2EF22">
    <w:pPr>
      <w:pStyle w:val="54"/>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61CD1">
    <w:pPr>
      <w:pStyle w:val="19"/>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A3CA2E">
    <w:pPr>
      <w:pStyle w:val="19"/>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13336">
    <w:pPr>
      <w:pStyle w:val="63"/>
      <w:rPr>
        <w:rFonts w:hint="eastAsia"/>
      </w:rPr>
    </w:pPr>
    <w:r>
      <w:fldChar w:fldCharType="begin"/>
    </w:r>
    <w:r>
      <w:instrText xml:space="preserve"> STYLEREF  标准文件_文件编号  \* MERGEFORMAT </w:instrText>
    </w:r>
    <w:r>
      <w:fldChar w:fldCharType="separate"/>
    </w:r>
    <w:r>
      <w:t>T/CPQS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9B7524E"/>
    <w:multiLevelType w:val="multilevel"/>
    <w:tmpl w:val="E9B7524E"/>
    <w:lvl w:ilvl="0" w:tentative="0">
      <w:start w:val="1"/>
      <w:numFmt w:val="lowerLetter"/>
      <w:pStyle w:val="176"/>
      <w:lvlText w:val="%1)"/>
      <w:lvlJc w:val="left"/>
      <w:pPr>
        <w:tabs>
          <w:tab w:val="left" w:pos="851"/>
        </w:tabs>
        <w:ind w:left="851" w:hanging="426"/>
      </w:pPr>
      <w:rPr>
        <w:rFonts w:hint="eastAsia" w:ascii="宋体" w:hAnsi="Times New Roman" w:eastAsia="宋体"/>
        <w:sz w:val="21"/>
      </w:rPr>
    </w:lvl>
    <w:lvl w:ilvl="1" w:tentative="0">
      <w:start w:val="1"/>
      <w:numFmt w:val="decimal"/>
      <w:pStyle w:val="111"/>
      <w:lvlText w:val="%2)"/>
      <w:lvlJc w:val="left"/>
      <w:pPr>
        <w:tabs>
          <w:tab w:val="left" w:pos="1276"/>
        </w:tabs>
        <w:ind w:left="1276" w:hanging="425"/>
      </w:pPr>
      <w:rPr>
        <w:rFonts w:hint="eastAsia" w:ascii="宋体" w:hAnsi="Times New Roman" w:eastAsia="宋体"/>
        <w:sz w:val="21"/>
      </w:rPr>
    </w:lvl>
    <w:lvl w:ilvl="2" w:tentative="0">
      <w:start w:val="1"/>
      <w:numFmt w:val="decimal"/>
      <w:pStyle w:val="119"/>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
    <w:nsid w:val="02837933"/>
    <w:multiLevelType w:val="multilevel"/>
    <w:tmpl w:val="02837933"/>
    <w:lvl w:ilvl="0" w:tentative="0">
      <w:start w:val="1"/>
      <w:numFmt w:val="decimal"/>
      <w:pStyle w:val="66"/>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2">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1"/>
      <w:suff w:val="nothing"/>
      <w:lvlText w:val="%1%2.%3　"/>
      <w:lvlJc w:val="left"/>
      <w:pPr>
        <w:ind w:left="0" w:firstLine="0"/>
      </w:pPr>
    </w:lvl>
    <w:lvl w:ilvl="3" w:tentative="0">
      <w:start w:val="1"/>
      <w:numFmt w:val="decimal"/>
      <w:pStyle w:val="120"/>
      <w:suff w:val="nothing"/>
      <w:lvlText w:val="%1%2.%3.%4　"/>
      <w:lvlJc w:val="left"/>
      <w:pPr>
        <w:ind w:left="0" w:firstLine="0"/>
      </w:pPr>
    </w:lvl>
    <w:lvl w:ilvl="4" w:tentative="0">
      <w:start w:val="1"/>
      <w:numFmt w:val="decimal"/>
      <w:pStyle w:val="155"/>
      <w:suff w:val="nothing"/>
      <w:lvlText w:val="%1%2.%3.%4.%5　"/>
      <w:lvlJc w:val="left"/>
      <w:pPr>
        <w:ind w:left="0" w:firstLine="0"/>
      </w:pPr>
    </w:lvl>
    <w:lvl w:ilvl="5" w:tentative="0">
      <w:start w:val="1"/>
      <w:numFmt w:val="decimal"/>
      <w:pStyle w:val="157"/>
      <w:suff w:val="nothing"/>
      <w:lvlText w:val="%1%2.%3.%4.%5.%6　"/>
      <w:lvlJc w:val="left"/>
      <w:pPr>
        <w:ind w:left="0" w:firstLine="0"/>
      </w:pPr>
    </w:lvl>
    <w:lvl w:ilvl="6" w:tentative="0">
      <w:start w:val="1"/>
      <w:numFmt w:val="decimal"/>
      <w:pStyle w:val="160"/>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3">
    <w:nsid w:val="079102AD"/>
    <w:multiLevelType w:val="multilevel"/>
    <w:tmpl w:val="079102AD"/>
    <w:lvl w:ilvl="0" w:tentative="0">
      <w:start w:val="1"/>
      <w:numFmt w:val="decimal"/>
      <w:pStyle w:val="182"/>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tentative="0">
      <w:start w:val="1"/>
      <w:numFmt w:val="none"/>
      <w:pStyle w:val="91"/>
      <w:lvlText w:val="%1"/>
      <w:lvlJc w:val="left"/>
      <w:pPr>
        <w:ind w:left="425" w:hanging="425"/>
      </w:pPr>
      <w:rPr>
        <w:rFonts w:hint="eastAsia"/>
      </w:rPr>
    </w:lvl>
    <w:lvl w:ilvl="1" w:tentative="0">
      <w:start w:val="1"/>
      <w:numFmt w:val="decimal"/>
      <w:pStyle w:val="202"/>
      <w:suff w:val="nothing"/>
      <w:lvlText w:val="%10.%2 "/>
      <w:lvlJc w:val="left"/>
      <w:pPr>
        <w:ind w:left="0" w:firstLine="0"/>
      </w:pPr>
      <w:rPr>
        <w:rFonts w:hint="eastAsia" w:ascii="黑体" w:eastAsia="黑体" w:hAnsiTheme="minorHAnsi"/>
        <w:b w:val="0"/>
        <w:i w:val="0"/>
        <w:sz w:val="21"/>
      </w:rPr>
    </w:lvl>
    <w:lvl w:ilvl="2" w:tentative="0">
      <w:start w:val="1"/>
      <w:numFmt w:val="decimal"/>
      <w:pStyle w:val="203"/>
      <w:suff w:val="nothing"/>
      <w:lvlText w:val="%10.%2.%3 "/>
      <w:lvlJc w:val="left"/>
      <w:pPr>
        <w:ind w:left="0" w:firstLine="0"/>
      </w:pPr>
      <w:rPr>
        <w:rFonts w:hint="eastAsia" w:ascii="黑体" w:eastAsia="黑体" w:hAnsiTheme="minorHAnsi"/>
        <w:b w:val="0"/>
        <w:i w:val="0"/>
        <w:sz w:val="21"/>
      </w:rPr>
    </w:lvl>
    <w:lvl w:ilvl="3" w:tentative="0">
      <w:start w:val="1"/>
      <w:numFmt w:val="decimal"/>
      <w:pStyle w:val="204"/>
      <w:suff w:val="nothing"/>
      <w:lvlText w:val="%10.%2.%3.%4 "/>
      <w:lvlJc w:val="left"/>
      <w:pPr>
        <w:ind w:left="0" w:firstLine="0"/>
      </w:pPr>
      <w:rPr>
        <w:rFonts w:hint="eastAsia" w:ascii="黑体" w:eastAsia="黑体" w:hAnsiTheme="minorHAnsi"/>
        <w:b w:val="0"/>
        <w:i w:val="0"/>
        <w:sz w:val="21"/>
      </w:rPr>
    </w:lvl>
    <w:lvl w:ilvl="4" w:tentative="0">
      <w:start w:val="1"/>
      <w:numFmt w:val="decimal"/>
      <w:pStyle w:val="205"/>
      <w:suff w:val="nothing"/>
      <w:lvlText w:val="%10.%2.%3.%4.%5 "/>
      <w:lvlJc w:val="left"/>
      <w:pPr>
        <w:ind w:left="0" w:firstLine="0"/>
      </w:pPr>
      <w:rPr>
        <w:rFonts w:hint="eastAsia" w:ascii="黑体" w:eastAsia="黑体" w:hAnsiTheme="minorHAnsi"/>
        <w:b w:val="0"/>
        <w:i w:val="0"/>
        <w:sz w:val="21"/>
      </w:rPr>
    </w:lvl>
    <w:lvl w:ilvl="5" w:tentative="0">
      <w:start w:val="1"/>
      <w:numFmt w:val="decimal"/>
      <w:pStyle w:val="206"/>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0AE367E9"/>
    <w:multiLevelType w:val="multilevel"/>
    <w:tmpl w:val="0AE367E9"/>
    <w:lvl w:ilvl="0" w:tentative="0">
      <w:start w:val="1"/>
      <w:numFmt w:val="none"/>
      <w:pStyle w:val="183"/>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tentative="0">
      <w:start w:val="1"/>
      <w:numFmt w:val="decimal"/>
      <w:pStyle w:val="69"/>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7">
    <w:nsid w:val="0D051F45"/>
    <w:multiLevelType w:val="multilevel"/>
    <w:tmpl w:val="0D051F45"/>
    <w:lvl w:ilvl="0" w:tentative="0">
      <w:start w:val="1"/>
      <w:numFmt w:val="lowerRoman"/>
      <w:pStyle w:val="171"/>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8">
    <w:nsid w:val="1AD20F90"/>
    <w:multiLevelType w:val="multilevel"/>
    <w:tmpl w:val="1AD20F90"/>
    <w:lvl w:ilvl="0" w:tentative="0">
      <w:start w:val="1"/>
      <w:numFmt w:val="none"/>
      <w:pStyle w:val="112"/>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87"/>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4"/>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2C5917C3"/>
    <w:multiLevelType w:val="multilevel"/>
    <w:tmpl w:val="2C5917C3"/>
    <w:lvl w:ilvl="0" w:tentative="0">
      <w:start w:val="1"/>
      <w:numFmt w:val="none"/>
      <w:pStyle w:val="134"/>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9"/>
      <w:lvlText w:val=""/>
      <w:lvlJc w:val="left"/>
      <w:pPr>
        <w:ind w:left="851" w:hanging="431"/>
      </w:pPr>
      <w:rPr>
        <w:rFonts w:hint="default" w:ascii="Symbol" w:hAnsi="Symbol"/>
        <w:sz w:val="21"/>
      </w:rPr>
    </w:lvl>
    <w:lvl w:ilvl="2" w:tentative="0">
      <w:start w:val="1"/>
      <w:numFmt w:val="bullet"/>
      <w:pStyle w:val="174"/>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2">
    <w:nsid w:val="32F04FB2"/>
    <w:multiLevelType w:val="multilevel"/>
    <w:tmpl w:val="32F04FB2"/>
    <w:lvl w:ilvl="0" w:tentative="0">
      <w:start w:val="1"/>
      <w:numFmt w:val="lowerLetter"/>
      <w:pStyle w:val="103"/>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3">
    <w:nsid w:val="48802D1C"/>
    <w:multiLevelType w:val="multilevel"/>
    <w:tmpl w:val="48802D1C"/>
    <w:lvl w:ilvl="0" w:tentative="0">
      <w:start w:val="1"/>
      <w:numFmt w:val="upperLetter"/>
      <w:pStyle w:val="200"/>
      <w:lvlText w:val="%1"/>
      <w:lvlJc w:val="left"/>
      <w:pPr>
        <w:ind w:left="420" w:hanging="420"/>
      </w:pPr>
      <w:rPr>
        <w:rFonts w:hint="eastAsia"/>
      </w:rPr>
    </w:lvl>
    <w:lvl w:ilvl="1" w:tentative="0">
      <w:start w:val="1"/>
      <w:numFmt w:val="decimal"/>
      <w:pStyle w:val="85"/>
      <w:suff w:val="space"/>
      <w:lvlText w:val="图%1.%2 "/>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5"/>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8"/>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5"/>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6"/>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201"/>
      <w:suff w:val="space"/>
      <w:lvlText w:val="%1"/>
      <w:lvlJc w:val="left"/>
      <w:pPr>
        <w:ind w:left="425" w:hanging="425"/>
      </w:pPr>
      <w:rPr>
        <w:rFonts w:hint="eastAsia"/>
      </w:rPr>
    </w:lvl>
    <w:lvl w:ilvl="1" w:tentative="0">
      <w:start w:val="1"/>
      <w:numFmt w:val="decimal"/>
      <w:pStyle w:val="79"/>
      <w:suff w:val="space"/>
      <w:lvlText w:val="表%1.%2 "/>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3"/>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70"/>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4"/>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91"/>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8"/>
      <w:suff w:val="nothing"/>
      <w:lvlText w:val="附录%1"/>
      <w:lvlJc w:val="left"/>
      <w:pPr>
        <w:ind w:left="0" w:firstLine="0"/>
      </w:pPr>
      <w:rPr>
        <w:rFonts w:hint="eastAsia"/>
        <w:spacing w:val="100"/>
      </w:rPr>
    </w:lvl>
    <w:lvl w:ilvl="1" w:tentative="0">
      <w:start w:val="1"/>
      <w:numFmt w:val="decimal"/>
      <w:pStyle w:val="80"/>
      <w:suff w:val="nothing"/>
      <w:lvlText w:val="%1.%2　"/>
      <w:lvlJc w:val="left"/>
      <w:pPr>
        <w:ind w:left="0" w:firstLine="0"/>
      </w:pPr>
      <w:rPr>
        <w:rFonts w:hint="eastAsia" w:ascii="黑体" w:eastAsia="黑体"/>
        <w:b w:val="0"/>
        <w:i w:val="0"/>
        <w:sz w:val="21"/>
      </w:rPr>
    </w:lvl>
    <w:lvl w:ilvl="2" w:tentative="0">
      <w:start w:val="1"/>
      <w:numFmt w:val="decimal"/>
      <w:pStyle w:val="81"/>
      <w:suff w:val="nothing"/>
      <w:lvlText w:val="%1.%2.%3　"/>
      <w:lvlJc w:val="left"/>
      <w:pPr>
        <w:ind w:left="0" w:firstLine="0"/>
      </w:pPr>
      <w:rPr>
        <w:rFonts w:hint="eastAsia" w:ascii="黑体" w:eastAsia="黑体"/>
        <w:b w:val="0"/>
        <w:i w:val="0"/>
        <w:sz w:val="21"/>
      </w:rPr>
    </w:lvl>
    <w:lvl w:ilvl="3" w:tentative="0">
      <w:start w:val="1"/>
      <w:numFmt w:val="decimal"/>
      <w:pStyle w:val="83"/>
      <w:suff w:val="nothing"/>
      <w:lvlText w:val="%1.%2.%3.%4　"/>
      <w:lvlJc w:val="left"/>
      <w:pPr>
        <w:ind w:left="0" w:firstLine="0"/>
      </w:pPr>
      <w:rPr>
        <w:rFonts w:hint="eastAsia" w:ascii="黑体" w:eastAsia="黑体"/>
        <w:b w:val="0"/>
        <w:i w:val="0"/>
        <w:sz w:val="21"/>
      </w:rPr>
    </w:lvl>
    <w:lvl w:ilvl="4" w:tentative="0">
      <w:start w:val="1"/>
      <w:numFmt w:val="decimal"/>
      <w:pStyle w:val="84"/>
      <w:suff w:val="nothing"/>
      <w:lvlText w:val="%1.%2.%3.%4.%5　"/>
      <w:lvlJc w:val="left"/>
      <w:pPr>
        <w:ind w:left="0" w:firstLine="0"/>
      </w:pPr>
      <w:rPr>
        <w:rFonts w:hint="eastAsia" w:ascii="黑体" w:eastAsia="黑体"/>
        <w:b w:val="0"/>
        <w:i w:val="0"/>
        <w:sz w:val="21"/>
      </w:rPr>
    </w:lvl>
    <w:lvl w:ilvl="5" w:tentative="0">
      <w:start w:val="1"/>
      <w:numFmt w:val="decimal"/>
      <w:pStyle w:val="86"/>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90"/>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9"/>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5"/>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4"/>
      <w:suff w:val="nothing"/>
      <w:lvlText w:val="%1"/>
      <w:lvlJc w:val="left"/>
      <w:pPr>
        <w:ind w:left="0" w:firstLine="0"/>
      </w:pPr>
      <w:rPr>
        <w:rFonts w:hint="eastAsia"/>
      </w:rPr>
    </w:lvl>
    <w:lvl w:ilvl="1" w:tentative="0">
      <w:start w:val="1"/>
      <w:numFmt w:val="decimal"/>
      <w:pStyle w:val="106"/>
      <w:suff w:val="nothing"/>
      <w:lvlText w:val="%1%2　"/>
      <w:lvlJc w:val="left"/>
      <w:pPr>
        <w:ind w:left="0" w:firstLine="0"/>
      </w:pPr>
      <w:rPr>
        <w:rFonts w:hint="eastAsia" w:ascii="黑体" w:eastAsia="黑体"/>
        <w:b w:val="0"/>
        <w:i w:val="0"/>
        <w:sz w:val="21"/>
      </w:rPr>
    </w:lvl>
    <w:lvl w:ilvl="2" w:tentative="0">
      <w:start w:val="1"/>
      <w:numFmt w:val="decimal"/>
      <w:pStyle w:val="107"/>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67"/>
      <w:suff w:val="nothing"/>
      <w:lvlText w:val="%1%2.%3.%4　"/>
      <w:lvlJc w:val="left"/>
      <w:pPr>
        <w:ind w:left="0" w:firstLine="0"/>
      </w:pPr>
      <w:rPr>
        <w:rFonts w:hint="eastAsia" w:ascii="黑体" w:eastAsia="黑体"/>
        <w:b w:val="0"/>
        <w:i w:val="0"/>
        <w:sz w:val="21"/>
      </w:rPr>
    </w:lvl>
    <w:lvl w:ilvl="4" w:tentative="0">
      <w:start w:val="1"/>
      <w:numFmt w:val="decimal"/>
      <w:pStyle w:val="96"/>
      <w:suff w:val="nothing"/>
      <w:lvlText w:val="%1%2.%3.%4.%5　"/>
      <w:lvlJc w:val="left"/>
      <w:pPr>
        <w:ind w:left="0" w:firstLine="0"/>
      </w:pPr>
      <w:rPr>
        <w:rFonts w:hint="eastAsia" w:ascii="黑体" w:eastAsia="黑体"/>
        <w:b w:val="0"/>
        <w:i w:val="0"/>
        <w:sz w:val="21"/>
      </w:rPr>
    </w:lvl>
    <w:lvl w:ilvl="5" w:tentative="0">
      <w:start w:val="1"/>
      <w:numFmt w:val="decimal"/>
      <w:pStyle w:val="100"/>
      <w:suff w:val="nothing"/>
      <w:lvlText w:val="%1%2.%3.%4.%5.%6　"/>
      <w:lvlJc w:val="left"/>
      <w:pPr>
        <w:ind w:left="0" w:firstLine="0"/>
      </w:pPr>
      <w:rPr>
        <w:rFonts w:hint="eastAsia" w:ascii="黑体" w:eastAsia="黑体"/>
        <w:b w:val="0"/>
        <w:i w:val="0"/>
        <w:sz w:val="21"/>
      </w:rPr>
    </w:lvl>
    <w:lvl w:ilvl="6" w:tentative="0">
      <w:start w:val="1"/>
      <w:numFmt w:val="decimal"/>
      <w:pStyle w:val="105"/>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81"/>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7"/>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41"/>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
  </w:num>
  <w:num w:numId="2">
    <w:abstractNumId w:val="27"/>
  </w:num>
  <w:num w:numId="3">
    <w:abstractNumId w:val="6"/>
  </w:num>
  <w:num w:numId="4">
    <w:abstractNumId w:val="23"/>
  </w:num>
  <w:num w:numId="5">
    <w:abstractNumId w:val="18"/>
  </w:num>
  <w:num w:numId="6">
    <w:abstractNumId w:val="13"/>
  </w:num>
  <w:num w:numId="7">
    <w:abstractNumId w:val="9"/>
  </w:num>
  <w:num w:numId="8">
    <w:abstractNumId w:val="4"/>
  </w:num>
  <w:num w:numId="9">
    <w:abstractNumId w:val="10"/>
  </w:num>
  <w:num w:numId="10">
    <w:abstractNumId w:val="16"/>
  </w:num>
  <w:num w:numId="11">
    <w:abstractNumId w:val="25"/>
  </w:num>
  <w:num w:numId="12">
    <w:abstractNumId w:val="12"/>
  </w:num>
  <w:num w:numId="13">
    <w:abstractNumId w:val="0"/>
  </w:num>
  <w:num w:numId="14">
    <w:abstractNumId w:val="8"/>
  </w:num>
  <w:num w:numId="15">
    <w:abstractNumId w:val="19"/>
  </w:num>
  <w:num w:numId="16">
    <w:abstractNumId w:val="21"/>
  </w:num>
  <w:num w:numId="17">
    <w:abstractNumId w:val="17"/>
  </w:num>
  <w:num w:numId="18">
    <w:abstractNumId w:val="29"/>
  </w:num>
  <w:num w:numId="19">
    <w:abstractNumId w:val="15"/>
  </w:num>
  <w:num w:numId="20">
    <w:abstractNumId w:val="2"/>
  </w:num>
  <w:num w:numId="21">
    <w:abstractNumId w:val="11"/>
  </w:num>
  <w:num w:numId="22">
    <w:abstractNumId w:val="30"/>
  </w:num>
  <w:num w:numId="23">
    <w:abstractNumId w:val="20"/>
  </w:num>
  <w:num w:numId="24">
    <w:abstractNumId w:val="7"/>
  </w:num>
  <w:num w:numId="25">
    <w:abstractNumId w:val="26"/>
  </w:num>
  <w:num w:numId="26">
    <w:abstractNumId w:val="28"/>
  </w:num>
  <w:num w:numId="27">
    <w:abstractNumId w:val="3"/>
  </w:num>
  <w:num w:numId="28">
    <w:abstractNumId w:val="5"/>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dit="forms"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3B1E"/>
    <w:rsid w:val="0011711C"/>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A07"/>
    <w:rsid w:val="00194C95"/>
    <w:rsid w:val="00195C34"/>
    <w:rsid w:val="00196EF5"/>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3D27"/>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5173A"/>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09D"/>
    <w:rsid w:val="00960F1E"/>
    <w:rsid w:val="009610DC"/>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80"/>
    <w:rsid w:val="00B77EC8"/>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7B9"/>
    <w:rsid w:val="00C24C8D"/>
    <w:rsid w:val="00C25FE2"/>
    <w:rsid w:val="00C26B53"/>
    <w:rsid w:val="00C279B2"/>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75C2"/>
    <w:rsid w:val="00EE0350"/>
    <w:rsid w:val="00EE0719"/>
    <w:rsid w:val="00EE0E80"/>
    <w:rsid w:val="00EE613F"/>
    <w:rsid w:val="00EE7295"/>
    <w:rsid w:val="00EE7869"/>
    <w:rsid w:val="00EF054A"/>
    <w:rsid w:val="00EF3235"/>
    <w:rsid w:val="00EF7076"/>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4252EF"/>
    <w:rsid w:val="01AE1ADC"/>
    <w:rsid w:val="03272540"/>
    <w:rsid w:val="058D7738"/>
    <w:rsid w:val="0C62191E"/>
    <w:rsid w:val="0CBA3508"/>
    <w:rsid w:val="0F5F0437"/>
    <w:rsid w:val="100D7DF3"/>
    <w:rsid w:val="13A310A5"/>
    <w:rsid w:val="153F699C"/>
    <w:rsid w:val="17AA67B5"/>
    <w:rsid w:val="1D085268"/>
    <w:rsid w:val="1E4629C3"/>
    <w:rsid w:val="1F38196C"/>
    <w:rsid w:val="1F784B5D"/>
    <w:rsid w:val="216B53B4"/>
    <w:rsid w:val="22CD2B13"/>
    <w:rsid w:val="233D2346"/>
    <w:rsid w:val="25D963AA"/>
    <w:rsid w:val="27832B7E"/>
    <w:rsid w:val="2B084FE7"/>
    <w:rsid w:val="2D055A12"/>
    <w:rsid w:val="2F205988"/>
    <w:rsid w:val="313E3B25"/>
    <w:rsid w:val="33A57592"/>
    <w:rsid w:val="33FB5108"/>
    <w:rsid w:val="35386E11"/>
    <w:rsid w:val="359009FB"/>
    <w:rsid w:val="3C5E53AF"/>
    <w:rsid w:val="3EAD43CC"/>
    <w:rsid w:val="49374FBE"/>
    <w:rsid w:val="4A4D4F6C"/>
    <w:rsid w:val="4FDA4F62"/>
    <w:rsid w:val="50806724"/>
    <w:rsid w:val="55727C0B"/>
    <w:rsid w:val="557661AB"/>
    <w:rsid w:val="55B8479E"/>
    <w:rsid w:val="55D97F74"/>
    <w:rsid w:val="5AD6795D"/>
    <w:rsid w:val="5E0D5850"/>
    <w:rsid w:val="5FF96DAF"/>
    <w:rsid w:val="659F4A77"/>
    <w:rsid w:val="679F2698"/>
    <w:rsid w:val="6B287074"/>
    <w:rsid w:val="703318E2"/>
    <w:rsid w:val="7148395C"/>
    <w:rsid w:val="73C179F6"/>
    <w:rsid w:val="7447614D"/>
    <w:rsid w:val="74FD6E7C"/>
    <w:rsid w:val="76E92AC9"/>
    <w:rsid w:val="77F87B8D"/>
    <w:rsid w:val="79101DAE"/>
    <w:rsid w:val="7A0F1722"/>
    <w:rsid w:val="7F2E23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6"/>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7"/>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8"/>
    <w:qFormat/>
    <w:uiPriority w:val="0"/>
    <w:pPr>
      <w:keepNext/>
      <w:keepLines/>
      <w:spacing w:before="260" w:after="260" w:line="416" w:lineRule="auto"/>
      <w:outlineLvl w:val="2"/>
    </w:pPr>
    <w:rPr>
      <w:b/>
      <w:bCs/>
      <w:sz w:val="32"/>
      <w:szCs w:val="32"/>
    </w:rPr>
  </w:style>
  <w:style w:type="paragraph" w:styleId="5">
    <w:name w:val="heading 4"/>
    <w:basedOn w:val="1"/>
    <w:next w:val="1"/>
    <w:link w:val="39"/>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0"/>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1"/>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2"/>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3"/>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4"/>
    <w:qFormat/>
    <w:uiPriority w:val="0"/>
    <w:pPr>
      <w:keepNext/>
      <w:keepLines/>
      <w:adjustRightInd/>
      <w:spacing w:before="240" w:after="64" w:line="320" w:lineRule="auto"/>
      <w:outlineLvl w:val="8"/>
    </w:pPr>
    <w:rPr>
      <w:rFonts w:ascii="Arial" w:hAnsi="Arial" w:eastAsia="黑体"/>
    </w:r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semiHidden/>
    <w:unhideWhenUsed/>
    <w:qFormat/>
    <w:uiPriority w:val="99"/>
    <w:pPr>
      <w:jc w:val="left"/>
    </w:pPr>
  </w:style>
  <w:style w:type="paragraph" w:styleId="14">
    <w:name w:val="Body Text"/>
    <w:basedOn w:val="1"/>
    <w:link w:val="88"/>
    <w:qFormat/>
    <w:uiPriority w:val="0"/>
    <w:pPr>
      <w:spacing w:after="120"/>
    </w:pPr>
  </w:style>
  <w:style w:type="paragraph" w:styleId="15">
    <w:name w:val="toc 5"/>
    <w:basedOn w:val="1"/>
    <w:next w:val="1"/>
    <w:autoRedefine/>
    <w:unhideWhenUsed/>
    <w:qFormat/>
    <w:uiPriority w:val="39"/>
    <w:pPr>
      <w:ind w:left="839"/>
    </w:pPr>
    <w:rPr>
      <w:rFonts w:ascii="宋体"/>
    </w:rPr>
  </w:style>
  <w:style w:type="paragraph" w:styleId="16">
    <w:name w:val="toc 3"/>
    <w:basedOn w:val="1"/>
    <w:next w:val="1"/>
    <w:autoRedefine/>
    <w:unhideWhenUsed/>
    <w:qFormat/>
    <w:uiPriority w:val="39"/>
    <w:pPr>
      <w:spacing w:line="300" w:lineRule="exact"/>
      <w:ind w:left="420"/>
    </w:pPr>
    <w:rPr>
      <w:rFonts w:ascii="宋体"/>
    </w:rPr>
  </w:style>
  <w:style w:type="paragraph" w:styleId="17">
    <w:name w:val="Balloon Text"/>
    <w:basedOn w:val="1"/>
    <w:link w:val="47"/>
    <w:semiHidden/>
    <w:unhideWhenUsed/>
    <w:qFormat/>
    <w:uiPriority w:val="99"/>
    <w:rPr>
      <w:sz w:val="18"/>
      <w:szCs w:val="18"/>
    </w:rPr>
  </w:style>
  <w:style w:type="paragraph" w:styleId="18">
    <w:name w:val="footer"/>
    <w:basedOn w:val="1"/>
    <w:link w:val="46"/>
    <w:qFormat/>
    <w:uiPriority w:val="99"/>
    <w:pPr>
      <w:tabs>
        <w:tab w:val="center" w:pos="4153"/>
        <w:tab w:val="right" w:pos="8306"/>
      </w:tabs>
      <w:adjustRightInd/>
      <w:snapToGrid w:val="0"/>
      <w:spacing w:line="240" w:lineRule="auto"/>
      <w:jc w:val="right"/>
    </w:pPr>
    <w:rPr>
      <w:rFonts w:ascii="宋体"/>
      <w:sz w:val="18"/>
      <w:szCs w:val="18"/>
    </w:rPr>
  </w:style>
  <w:style w:type="paragraph" w:styleId="19">
    <w:name w:val="header"/>
    <w:basedOn w:val="1"/>
    <w:link w:val="45"/>
    <w:qFormat/>
    <w:uiPriority w:val="99"/>
    <w:pPr>
      <w:tabs>
        <w:tab w:val="center" w:pos="4153"/>
        <w:tab w:val="right" w:pos="8306"/>
      </w:tabs>
      <w:adjustRightInd/>
      <w:snapToGrid w:val="0"/>
      <w:jc w:val="center"/>
    </w:pPr>
    <w:rPr>
      <w:sz w:val="18"/>
      <w:szCs w:val="18"/>
    </w:rPr>
  </w:style>
  <w:style w:type="paragraph" w:styleId="20">
    <w:name w:val="toc 1"/>
    <w:basedOn w:val="1"/>
    <w:next w:val="1"/>
    <w:autoRedefine/>
    <w:unhideWhenUsed/>
    <w:qFormat/>
    <w:uiPriority w:val="39"/>
    <w:rPr>
      <w:rFonts w:ascii="宋体"/>
    </w:rPr>
  </w:style>
  <w:style w:type="paragraph" w:styleId="21">
    <w:name w:val="toc 4"/>
    <w:basedOn w:val="1"/>
    <w:next w:val="1"/>
    <w:autoRedefine/>
    <w:unhideWhenUsed/>
    <w:qFormat/>
    <w:uiPriority w:val="39"/>
    <w:pPr>
      <w:tabs>
        <w:tab w:val="right" w:leader="dot" w:pos="9344"/>
      </w:tabs>
      <w:spacing w:line="300" w:lineRule="exact"/>
      <w:ind w:left="629"/>
    </w:pPr>
    <w:rPr>
      <w:rFonts w:ascii="宋体"/>
    </w:rPr>
  </w:style>
  <w:style w:type="paragraph" w:styleId="22">
    <w:name w:val="footnote text"/>
    <w:basedOn w:val="1"/>
    <w:next w:val="1"/>
    <w:link w:val="101"/>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3">
    <w:name w:val="toc 6"/>
    <w:basedOn w:val="1"/>
    <w:next w:val="1"/>
    <w:autoRedefine/>
    <w:unhideWhenUsed/>
    <w:qFormat/>
    <w:uiPriority w:val="39"/>
    <w:pPr>
      <w:spacing w:line="300" w:lineRule="exact"/>
      <w:ind w:left="1049"/>
    </w:pPr>
    <w:rPr>
      <w:rFonts w:ascii="宋体"/>
    </w:rPr>
  </w:style>
  <w:style w:type="paragraph" w:styleId="24">
    <w:name w:val="table of figures"/>
    <w:basedOn w:val="1"/>
    <w:next w:val="1"/>
    <w:semiHidden/>
    <w:qFormat/>
    <w:uiPriority w:val="0"/>
    <w:pPr>
      <w:adjustRightInd/>
      <w:spacing w:line="240" w:lineRule="auto"/>
      <w:jc w:val="left"/>
    </w:pPr>
    <w:rPr>
      <w:szCs w:val="24"/>
    </w:rPr>
  </w:style>
  <w:style w:type="paragraph" w:styleId="25">
    <w:name w:val="toc 2"/>
    <w:basedOn w:val="1"/>
    <w:next w:val="1"/>
    <w:autoRedefine/>
    <w:unhideWhenUsed/>
    <w:qFormat/>
    <w:uiPriority w:val="39"/>
    <w:pPr>
      <w:tabs>
        <w:tab w:val="right" w:leader="dot" w:pos="9344"/>
      </w:tabs>
      <w:spacing w:line="300" w:lineRule="exact"/>
      <w:ind w:left="210"/>
    </w:pPr>
    <w:rPr>
      <w:rFonts w:ascii="宋体"/>
    </w:rPr>
  </w:style>
  <w:style w:type="paragraph" w:styleId="26">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27">
    <w:name w:val="Title"/>
    <w:basedOn w:val="1"/>
    <w:link w:val="50"/>
    <w:qFormat/>
    <w:uiPriority w:val="0"/>
    <w:pPr>
      <w:spacing w:before="240" w:after="60"/>
      <w:jc w:val="center"/>
      <w:outlineLvl w:val="0"/>
    </w:pPr>
    <w:rPr>
      <w:rFonts w:ascii="Arial" w:hAnsi="Arial" w:cs="Arial"/>
      <w:b/>
      <w:bCs/>
      <w:sz w:val="32"/>
      <w:szCs w:val="32"/>
    </w:rPr>
  </w:style>
  <w:style w:type="table" w:styleId="29">
    <w:name w:val="Table Grid"/>
    <w:basedOn w:val="28"/>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Strong"/>
    <w:qFormat/>
    <w:uiPriority w:val="22"/>
    <w:rPr>
      <w:b/>
      <w:bCs/>
    </w:rPr>
  </w:style>
  <w:style w:type="character" w:styleId="32">
    <w:name w:val="page number"/>
    <w:qFormat/>
    <w:uiPriority w:val="0"/>
    <w:rPr>
      <w:rFonts w:ascii="宋体" w:hAnsi="Times New Roman" w:eastAsia="宋体"/>
      <w:sz w:val="18"/>
    </w:rPr>
  </w:style>
  <w:style w:type="character" w:styleId="33">
    <w:name w:val="Emphasis"/>
    <w:qFormat/>
    <w:uiPriority w:val="20"/>
    <w:rPr>
      <w:i/>
      <w:iCs/>
    </w:rPr>
  </w:style>
  <w:style w:type="character" w:styleId="34">
    <w:name w:val="Hyperlink"/>
    <w:qFormat/>
    <w:uiPriority w:val="99"/>
    <w:rPr>
      <w:rFonts w:ascii="宋体" w:hAnsi="Times New Roman" w:eastAsia="宋体"/>
      <w:color w:val="auto"/>
      <w:spacing w:val="0"/>
      <w:w w:val="100"/>
      <w:position w:val="0"/>
      <w:sz w:val="21"/>
      <w:u w:val="none"/>
      <w:vertAlign w:val="baseline"/>
    </w:rPr>
  </w:style>
  <w:style w:type="character" w:styleId="35">
    <w:name w:val="footnote reference"/>
    <w:semiHidden/>
    <w:qFormat/>
    <w:uiPriority w:val="0"/>
    <w:rPr>
      <w:rFonts w:ascii="宋体" w:hAnsi="宋体" w:eastAsia="宋体" w:cs="Times New Roman"/>
      <w:spacing w:val="0"/>
      <w:sz w:val="18"/>
      <w:vertAlign w:val="superscript"/>
    </w:rPr>
  </w:style>
  <w:style w:type="character" w:customStyle="1" w:styleId="36">
    <w:name w:val="标题 1 字符"/>
    <w:link w:val="2"/>
    <w:qFormat/>
    <w:uiPriority w:val="0"/>
    <w:rPr>
      <w:b/>
      <w:bCs/>
      <w:kern w:val="44"/>
      <w:sz w:val="44"/>
      <w:szCs w:val="44"/>
    </w:rPr>
  </w:style>
  <w:style w:type="character" w:customStyle="1" w:styleId="37">
    <w:name w:val="标题 2 字符"/>
    <w:link w:val="3"/>
    <w:qFormat/>
    <w:uiPriority w:val="0"/>
    <w:rPr>
      <w:rFonts w:ascii="Arial" w:hAnsi="Arial" w:eastAsia="黑体"/>
      <w:b/>
      <w:bCs/>
      <w:kern w:val="2"/>
      <w:sz w:val="32"/>
      <w:szCs w:val="32"/>
    </w:rPr>
  </w:style>
  <w:style w:type="character" w:customStyle="1" w:styleId="38">
    <w:name w:val="标题 3 字符"/>
    <w:link w:val="4"/>
    <w:qFormat/>
    <w:uiPriority w:val="0"/>
    <w:rPr>
      <w:b/>
      <w:bCs/>
      <w:kern w:val="2"/>
      <w:sz w:val="32"/>
      <w:szCs w:val="32"/>
    </w:rPr>
  </w:style>
  <w:style w:type="character" w:customStyle="1" w:styleId="39">
    <w:name w:val="标题 4 字符"/>
    <w:link w:val="5"/>
    <w:qFormat/>
    <w:uiPriority w:val="0"/>
    <w:rPr>
      <w:rFonts w:ascii="Arial" w:hAnsi="Arial" w:eastAsia="黑体"/>
      <w:b/>
      <w:bCs/>
      <w:kern w:val="2"/>
      <w:sz w:val="28"/>
      <w:szCs w:val="28"/>
    </w:rPr>
  </w:style>
  <w:style w:type="character" w:customStyle="1" w:styleId="40">
    <w:name w:val="标题 5 字符"/>
    <w:link w:val="6"/>
    <w:qFormat/>
    <w:uiPriority w:val="0"/>
    <w:rPr>
      <w:b/>
      <w:bCs/>
      <w:kern w:val="2"/>
      <w:sz w:val="28"/>
      <w:szCs w:val="28"/>
    </w:rPr>
  </w:style>
  <w:style w:type="character" w:customStyle="1" w:styleId="41">
    <w:name w:val="标题 6 字符"/>
    <w:link w:val="7"/>
    <w:qFormat/>
    <w:uiPriority w:val="0"/>
    <w:rPr>
      <w:rFonts w:ascii="Arial" w:hAnsi="Arial" w:eastAsia="黑体"/>
      <w:b/>
      <w:bCs/>
      <w:kern w:val="2"/>
      <w:sz w:val="24"/>
      <w:szCs w:val="24"/>
    </w:rPr>
  </w:style>
  <w:style w:type="character" w:customStyle="1" w:styleId="42">
    <w:name w:val="标题 7 字符"/>
    <w:link w:val="8"/>
    <w:qFormat/>
    <w:uiPriority w:val="0"/>
    <w:rPr>
      <w:b/>
      <w:bCs/>
      <w:kern w:val="2"/>
      <w:sz w:val="24"/>
      <w:szCs w:val="24"/>
    </w:rPr>
  </w:style>
  <w:style w:type="character" w:customStyle="1" w:styleId="43">
    <w:name w:val="标题 8 字符"/>
    <w:link w:val="9"/>
    <w:qFormat/>
    <w:uiPriority w:val="0"/>
    <w:rPr>
      <w:rFonts w:ascii="Arial" w:hAnsi="Arial" w:eastAsia="黑体"/>
      <w:kern w:val="2"/>
      <w:sz w:val="24"/>
      <w:szCs w:val="24"/>
    </w:rPr>
  </w:style>
  <w:style w:type="character" w:customStyle="1" w:styleId="44">
    <w:name w:val="标题 9 字符"/>
    <w:link w:val="10"/>
    <w:qFormat/>
    <w:uiPriority w:val="0"/>
    <w:rPr>
      <w:rFonts w:ascii="Arial" w:hAnsi="Arial" w:eastAsia="黑体"/>
      <w:kern w:val="2"/>
      <w:sz w:val="21"/>
      <w:szCs w:val="21"/>
    </w:rPr>
  </w:style>
  <w:style w:type="character" w:customStyle="1" w:styleId="45">
    <w:name w:val="页眉 字符"/>
    <w:link w:val="19"/>
    <w:qFormat/>
    <w:uiPriority w:val="99"/>
    <w:rPr>
      <w:kern w:val="2"/>
      <w:sz w:val="18"/>
      <w:szCs w:val="18"/>
    </w:rPr>
  </w:style>
  <w:style w:type="character" w:customStyle="1" w:styleId="46">
    <w:name w:val="页脚 字符"/>
    <w:link w:val="18"/>
    <w:qFormat/>
    <w:uiPriority w:val="99"/>
    <w:rPr>
      <w:rFonts w:ascii="宋体"/>
      <w:kern w:val="2"/>
      <w:sz w:val="18"/>
      <w:szCs w:val="18"/>
    </w:rPr>
  </w:style>
  <w:style w:type="character" w:customStyle="1" w:styleId="47">
    <w:name w:val="批注框文本 字符"/>
    <w:link w:val="17"/>
    <w:semiHidden/>
    <w:qFormat/>
    <w:uiPriority w:val="99"/>
    <w:rPr>
      <w:kern w:val="2"/>
      <w:sz w:val="18"/>
      <w:szCs w:val="18"/>
    </w:rPr>
  </w:style>
  <w:style w:type="paragraph" w:styleId="48">
    <w:name w:val="Quote"/>
    <w:basedOn w:val="1"/>
    <w:next w:val="1"/>
    <w:link w:val="49"/>
    <w:qFormat/>
    <w:uiPriority w:val="29"/>
    <w:rPr>
      <w:i/>
      <w:iCs/>
      <w:color w:val="000000"/>
    </w:rPr>
  </w:style>
  <w:style w:type="character" w:customStyle="1" w:styleId="49">
    <w:name w:val="引用 字符"/>
    <w:link w:val="48"/>
    <w:qFormat/>
    <w:uiPriority w:val="29"/>
    <w:rPr>
      <w:i/>
      <w:iCs/>
      <w:color w:val="000000"/>
      <w:kern w:val="2"/>
      <w:sz w:val="21"/>
      <w:szCs w:val="21"/>
    </w:rPr>
  </w:style>
  <w:style w:type="character" w:customStyle="1" w:styleId="50">
    <w:name w:val="标题 字符"/>
    <w:link w:val="27"/>
    <w:qFormat/>
    <w:uiPriority w:val="0"/>
    <w:rPr>
      <w:rFonts w:ascii="Arial" w:hAnsi="Arial" w:cs="Arial"/>
      <w:b/>
      <w:bCs/>
      <w:kern w:val="2"/>
      <w:sz w:val="32"/>
      <w:szCs w:val="32"/>
    </w:rPr>
  </w:style>
  <w:style w:type="paragraph" w:customStyle="1" w:styleId="51">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2">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3">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4">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5">
    <w:name w:val="标准书眉一"/>
    <w:qFormat/>
    <w:uiPriority w:val="0"/>
    <w:pPr>
      <w:jc w:val="both"/>
    </w:pPr>
    <w:rPr>
      <w:rFonts w:ascii="Times New Roman" w:hAnsi="Times New Roman" w:eastAsia="宋体" w:cs="Times New Roman"/>
      <w:lang w:val="en-US" w:eastAsia="zh-CN" w:bidi="ar-SA"/>
    </w:rPr>
  </w:style>
  <w:style w:type="paragraph" w:customStyle="1" w:styleId="56">
    <w:name w:val="标准文件_ICS"/>
    <w:basedOn w:val="1"/>
    <w:qFormat/>
    <w:uiPriority w:val="0"/>
    <w:pPr>
      <w:spacing w:line="0" w:lineRule="atLeast"/>
    </w:pPr>
    <w:rPr>
      <w:rFonts w:ascii="黑体" w:hAnsi="宋体" w:eastAsia="黑体"/>
    </w:rPr>
  </w:style>
  <w:style w:type="paragraph" w:customStyle="1" w:styleId="57">
    <w:name w:val="标准文件_标准正文"/>
    <w:basedOn w:val="1"/>
    <w:next w:val="58"/>
    <w:qFormat/>
    <w:uiPriority w:val="0"/>
    <w:pPr>
      <w:snapToGrid w:val="0"/>
      <w:ind w:firstLine="200" w:firstLineChars="200"/>
    </w:pPr>
    <w:rPr>
      <w:kern w:val="0"/>
    </w:rPr>
  </w:style>
  <w:style w:type="paragraph" w:customStyle="1" w:styleId="58">
    <w:name w:val="标准文件_段"/>
    <w:link w:val="186"/>
    <w:qFormat/>
    <w:uiPriority w:val="0"/>
    <w:pPr>
      <w:autoSpaceDE w:val="0"/>
      <w:autoSpaceDN w:val="0"/>
      <w:ind w:firstLine="200" w:firstLineChars="200"/>
      <w:jc w:val="both"/>
    </w:pPr>
    <w:rPr>
      <w:rFonts w:ascii="Times New Roman" w:hAnsi="Times New Roman" w:eastAsia="宋体" w:cs="Times New Roman"/>
      <w:sz w:val="21"/>
      <w:lang w:val="en-US" w:eastAsia="zh-CN" w:bidi="ar-SA"/>
    </w:rPr>
  </w:style>
  <w:style w:type="paragraph" w:customStyle="1" w:styleId="59">
    <w:name w:val="标准文件_版本"/>
    <w:basedOn w:val="57"/>
    <w:qFormat/>
    <w:uiPriority w:val="0"/>
    <w:pPr>
      <w:adjustRightInd/>
      <w:snapToGrid/>
      <w:ind w:firstLine="0" w:firstLineChars="0"/>
    </w:pPr>
    <w:rPr>
      <w:rFonts w:ascii="宋体" w:hAnsi="宋体"/>
      <w:kern w:val="2"/>
    </w:rPr>
  </w:style>
  <w:style w:type="paragraph" w:customStyle="1" w:styleId="60">
    <w:name w:val="标准文件_标准部门"/>
    <w:basedOn w:val="1"/>
    <w:qFormat/>
    <w:uiPriority w:val="0"/>
    <w:pPr>
      <w:jc w:val="center"/>
    </w:pPr>
    <w:rPr>
      <w:rFonts w:ascii="黑体" w:eastAsia="黑体"/>
      <w:kern w:val="0"/>
      <w:sz w:val="44"/>
    </w:rPr>
  </w:style>
  <w:style w:type="paragraph" w:customStyle="1" w:styleId="61">
    <w:name w:val="标准文件_标准代替"/>
    <w:basedOn w:val="1"/>
    <w:next w:val="1"/>
    <w:qFormat/>
    <w:uiPriority w:val="0"/>
    <w:pPr>
      <w:spacing w:line="310" w:lineRule="exact"/>
      <w:jc w:val="right"/>
    </w:pPr>
    <w:rPr>
      <w:rFonts w:ascii="宋体" w:hAnsi="宋体"/>
      <w:kern w:val="0"/>
    </w:rPr>
  </w:style>
  <w:style w:type="paragraph" w:customStyle="1" w:styleId="62">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3">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4">
    <w:name w:val="标准文件_页眉偶数页"/>
    <w:basedOn w:val="63"/>
    <w:next w:val="1"/>
    <w:qFormat/>
    <w:uiPriority w:val="0"/>
    <w:pPr>
      <w:jc w:val="left"/>
    </w:pPr>
  </w:style>
  <w:style w:type="paragraph" w:customStyle="1" w:styleId="65">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6">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7">
    <w:name w:val="标准文件_二级条标题"/>
    <w:next w:val="58"/>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8">
    <w:name w:val="标准文件_发布"/>
    <w:qFormat/>
    <w:uiPriority w:val="0"/>
    <w:rPr>
      <w:rFonts w:ascii="黑体" w:eastAsia="黑体"/>
      <w:spacing w:val="0"/>
      <w:w w:val="100"/>
      <w:position w:val="3"/>
      <w:sz w:val="28"/>
    </w:rPr>
  </w:style>
  <w:style w:type="paragraph" w:customStyle="1" w:styleId="69">
    <w:name w:val="标准文件_方框数字列项"/>
    <w:basedOn w:val="58"/>
    <w:qFormat/>
    <w:uiPriority w:val="0"/>
    <w:pPr>
      <w:numPr>
        <w:ilvl w:val="0"/>
        <w:numId w:val="3"/>
      </w:numPr>
      <w:ind w:firstLine="0" w:firstLineChars="0"/>
    </w:pPr>
  </w:style>
  <w:style w:type="paragraph" w:customStyle="1" w:styleId="70">
    <w:name w:val="标准文件_封面标准编号"/>
    <w:basedOn w:val="1"/>
    <w:next w:val="61"/>
    <w:qFormat/>
    <w:uiPriority w:val="0"/>
    <w:pPr>
      <w:spacing w:line="310" w:lineRule="exact"/>
      <w:jc w:val="right"/>
    </w:pPr>
    <w:rPr>
      <w:rFonts w:ascii="黑体" w:eastAsia="黑体"/>
      <w:kern w:val="0"/>
      <w:sz w:val="28"/>
    </w:rPr>
  </w:style>
  <w:style w:type="paragraph" w:customStyle="1" w:styleId="71">
    <w:name w:val="标准文件_封面标准分类号"/>
    <w:basedOn w:val="1"/>
    <w:qFormat/>
    <w:uiPriority w:val="0"/>
    <w:rPr>
      <w:rFonts w:ascii="黑体" w:eastAsia="黑体"/>
      <w:b/>
      <w:kern w:val="0"/>
      <w:sz w:val="28"/>
    </w:rPr>
  </w:style>
  <w:style w:type="paragraph" w:customStyle="1" w:styleId="72">
    <w:name w:val="标准文件_封面标准名称"/>
    <w:basedOn w:val="1"/>
    <w:qFormat/>
    <w:uiPriority w:val="0"/>
    <w:pPr>
      <w:spacing w:line="240" w:lineRule="auto"/>
      <w:jc w:val="center"/>
    </w:pPr>
    <w:rPr>
      <w:rFonts w:ascii="黑体" w:eastAsia="黑体"/>
      <w:kern w:val="0"/>
      <w:sz w:val="52"/>
    </w:rPr>
  </w:style>
  <w:style w:type="paragraph" w:customStyle="1" w:styleId="73">
    <w:name w:val="标准文件_封面标准英文名称"/>
    <w:basedOn w:val="1"/>
    <w:qFormat/>
    <w:uiPriority w:val="0"/>
    <w:pPr>
      <w:spacing w:line="240" w:lineRule="auto"/>
      <w:jc w:val="center"/>
    </w:pPr>
    <w:rPr>
      <w:rFonts w:ascii="黑体" w:eastAsia="黑体"/>
      <w:b/>
      <w:sz w:val="28"/>
    </w:rPr>
  </w:style>
  <w:style w:type="paragraph" w:customStyle="1" w:styleId="74">
    <w:name w:val="标准文件_封面发布日期"/>
    <w:basedOn w:val="1"/>
    <w:qFormat/>
    <w:uiPriority w:val="0"/>
    <w:pPr>
      <w:spacing w:line="310" w:lineRule="exact"/>
    </w:pPr>
    <w:rPr>
      <w:rFonts w:ascii="黑体" w:eastAsia="黑体"/>
      <w:kern w:val="0"/>
      <w:sz w:val="28"/>
    </w:rPr>
  </w:style>
  <w:style w:type="paragraph" w:customStyle="1" w:styleId="75">
    <w:name w:val="标准文件_封面密级"/>
    <w:basedOn w:val="1"/>
    <w:qFormat/>
    <w:uiPriority w:val="0"/>
    <w:rPr>
      <w:rFonts w:eastAsia="黑体"/>
      <w:sz w:val="32"/>
    </w:rPr>
  </w:style>
  <w:style w:type="paragraph" w:customStyle="1" w:styleId="76">
    <w:name w:val="标准文件_封面实施日期"/>
    <w:basedOn w:val="1"/>
    <w:qFormat/>
    <w:uiPriority w:val="0"/>
    <w:pPr>
      <w:spacing w:line="310" w:lineRule="exact"/>
      <w:jc w:val="right"/>
    </w:pPr>
    <w:rPr>
      <w:rFonts w:ascii="黑体" w:eastAsia="黑体"/>
      <w:sz w:val="28"/>
    </w:rPr>
  </w:style>
  <w:style w:type="paragraph" w:customStyle="1" w:styleId="77">
    <w:name w:val="标准文件_封面抬头"/>
    <w:basedOn w:val="58"/>
    <w:qFormat/>
    <w:uiPriority w:val="0"/>
    <w:pPr>
      <w:adjustRightInd w:val="0"/>
      <w:spacing w:line="800" w:lineRule="exact"/>
      <w:ind w:firstLine="0" w:firstLineChars="0"/>
      <w:jc w:val="distribute"/>
    </w:pPr>
    <w:rPr>
      <w:rFonts w:ascii="黑体" w:eastAsia="黑体"/>
      <w:b/>
      <w:sz w:val="64"/>
    </w:rPr>
  </w:style>
  <w:style w:type="paragraph" w:customStyle="1" w:styleId="78">
    <w:name w:val="标准文件_附录标识"/>
    <w:next w:val="58"/>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9">
    <w:name w:val="标准文件_附录表标题"/>
    <w:next w:val="58"/>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80">
    <w:name w:val="标准文件_附录一级条标题"/>
    <w:next w:val="58"/>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1">
    <w:name w:val="标准文件_附录二级条标题"/>
    <w:basedOn w:val="80"/>
    <w:next w:val="58"/>
    <w:qFormat/>
    <w:uiPriority w:val="0"/>
    <w:pPr>
      <w:widowControl/>
      <w:numPr>
        <w:ilvl w:val="2"/>
      </w:numPr>
      <w:wordWrap w:val="0"/>
      <w:overflowPunct w:val="0"/>
      <w:autoSpaceDE w:val="0"/>
      <w:autoSpaceDN w:val="0"/>
      <w:textAlignment w:val="baseline"/>
      <w:outlineLvl w:val="3"/>
    </w:pPr>
  </w:style>
  <w:style w:type="paragraph" w:customStyle="1" w:styleId="82">
    <w:name w:val="标准文件_附录公式"/>
    <w:basedOn w:val="57"/>
    <w:next w:val="57"/>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3">
    <w:name w:val="标准文件_附录三级条标题"/>
    <w:next w:val="58"/>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4">
    <w:name w:val="标准文件_附录四级条标题"/>
    <w:next w:val="58"/>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5">
    <w:name w:val="标准文件_附录图标题"/>
    <w:next w:val="58"/>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6">
    <w:name w:val="标准文件_附录五级条标题"/>
    <w:next w:val="58"/>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7">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8">
    <w:name w:val="正文文本 字符"/>
    <w:link w:val="14"/>
    <w:qFormat/>
    <w:uiPriority w:val="0"/>
    <w:rPr>
      <w:kern w:val="2"/>
      <w:sz w:val="21"/>
      <w:szCs w:val="21"/>
    </w:rPr>
  </w:style>
  <w:style w:type="paragraph" w:customStyle="1" w:styleId="89">
    <w:name w:val="标准文件_附录章标题"/>
    <w:next w:val="58"/>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0">
    <w:name w:val="标准文件_公式后的破折号"/>
    <w:basedOn w:val="58"/>
    <w:next w:val="58"/>
    <w:qFormat/>
    <w:uiPriority w:val="0"/>
    <w:pPr>
      <w:ind w:left="488" w:leftChars="200" w:hanging="289" w:hangingChars="290"/>
    </w:pPr>
  </w:style>
  <w:style w:type="paragraph" w:customStyle="1" w:styleId="91">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2">
    <w:name w:val="标准文件_目次、标准名称标题"/>
    <w:basedOn w:val="91"/>
    <w:next w:val="58"/>
    <w:qFormat/>
    <w:uiPriority w:val="0"/>
    <w:pPr>
      <w:spacing w:line="460" w:lineRule="exact"/>
      <w:ind w:left="0" w:firstLine="0"/>
    </w:pPr>
  </w:style>
  <w:style w:type="paragraph" w:customStyle="1" w:styleId="93">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4">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5">
    <w:name w:val="标准文件_破折号列项（二级）"/>
    <w:basedOn w:val="94"/>
    <w:qFormat/>
    <w:uiPriority w:val="0"/>
    <w:pPr>
      <w:numPr>
        <w:numId w:val="10"/>
      </w:numPr>
    </w:pPr>
  </w:style>
  <w:style w:type="paragraph" w:customStyle="1" w:styleId="96">
    <w:name w:val="标准文件_三级条标题"/>
    <w:basedOn w:val="67"/>
    <w:next w:val="58"/>
    <w:qFormat/>
    <w:uiPriority w:val="0"/>
    <w:pPr>
      <w:widowControl/>
      <w:numPr>
        <w:ilvl w:val="4"/>
      </w:numPr>
      <w:outlineLvl w:val="3"/>
    </w:pPr>
  </w:style>
  <w:style w:type="character" w:customStyle="1" w:styleId="97">
    <w:name w:val="Subtle Reference"/>
    <w:qFormat/>
    <w:uiPriority w:val="31"/>
    <w:rPr>
      <w:smallCaps/>
      <w:color w:val="C0504D"/>
      <w:u w:val="single"/>
    </w:rPr>
  </w:style>
  <w:style w:type="paragraph" w:customStyle="1" w:styleId="98">
    <w:name w:val="标准文件_示例后续"/>
    <w:basedOn w:val="1"/>
    <w:qFormat/>
    <w:uiPriority w:val="0"/>
    <w:pPr>
      <w:adjustRightInd/>
      <w:spacing w:line="240" w:lineRule="auto"/>
      <w:ind w:firstLine="200" w:firstLineChars="200"/>
    </w:pPr>
    <w:rPr>
      <w:sz w:val="18"/>
      <w:szCs w:val="24"/>
    </w:rPr>
  </w:style>
  <w:style w:type="paragraph" w:customStyle="1" w:styleId="99">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0">
    <w:name w:val="标准文件_四级条标题"/>
    <w:next w:val="58"/>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1">
    <w:name w:val="脚注文本 字符"/>
    <w:link w:val="22"/>
    <w:semiHidden/>
    <w:qFormat/>
    <w:uiPriority w:val="0"/>
    <w:rPr>
      <w:rFonts w:ascii="宋体"/>
      <w:kern w:val="2"/>
      <w:sz w:val="18"/>
      <w:szCs w:val="18"/>
    </w:rPr>
  </w:style>
  <w:style w:type="paragraph" w:customStyle="1" w:styleId="102">
    <w:name w:val="标准文件_条文脚注"/>
    <w:basedOn w:val="22"/>
    <w:qFormat/>
    <w:uiPriority w:val="0"/>
    <w:pPr>
      <w:adjustRightInd w:val="0"/>
      <w:spacing w:line="240" w:lineRule="auto"/>
      <w:ind w:left="0" w:leftChars="0" w:firstLine="200" w:firstLineChars="200"/>
      <w:jc w:val="both"/>
    </w:pPr>
    <w:rPr>
      <w:rFonts w:hAnsi="宋体"/>
    </w:rPr>
  </w:style>
  <w:style w:type="paragraph" w:customStyle="1" w:styleId="103">
    <w:name w:val="标准文件_图表脚注"/>
    <w:basedOn w:val="1"/>
    <w:next w:val="58"/>
    <w:qFormat/>
    <w:uiPriority w:val="0"/>
    <w:pPr>
      <w:numPr>
        <w:ilvl w:val="0"/>
        <w:numId w:val="12"/>
      </w:numPr>
      <w:spacing w:line="240" w:lineRule="auto"/>
      <w:jc w:val="left"/>
    </w:pPr>
    <w:rPr>
      <w:rFonts w:ascii="宋体" w:hAnsi="宋体"/>
      <w:sz w:val="18"/>
    </w:rPr>
  </w:style>
  <w:style w:type="character" w:customStyle="1" w:styleId="104">
    <w:name w:val="标准文件_图表脚注内容"/>
    <w:qFormat/>
    <w:uiPriority w:val="0"/>
    <w:rPr>
      <w:rFonts w:ascii="宋体" w:hAnsi="宋体" w:eastAsia="宋体" w:cs="Times New Roman"/>
      <w:spacing w:val="0"/>
      <w:sz w:val="18"/>
      <w:vertAlign w:val="superscript"/>
    </w:rPr>
  </w:style>
  <w:style w:type="paragraph" w:customStyle="1" w:styleId="105">
    <w:name w:val="标准文件_五级条标题"/>
    <w:next w:val="58"/>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6">
    <w:name w:val="标准文件_章标题"/>
    <w:next w:val="58"/>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7">
    <w:name w:val="标准文件_一级条标题"/>
    <w:basedOn w:val="106"/>
    <w:next w:val="58"/>
    <w:qFormat/>
    <w:uiPriority w:val="0"/>
    <w:pPr>
      <w:numPr>
        <w:ilvl w:val="2"/>
      </w:numPr>
      <w:spacing w:before="50" w:beforeLines="50" w:after="50" w:afterLines="50"/>
      <w:outlineLvl w:val="1"/>
    </w:pPr>
  </w:style>
  <w:style w:type="paragraph" w:customStyle="1" w:styleId="108">
    <w:name w:val="标准文件_一致程度"/>
    <w:basedOn w:val="1"/>
    <w:qFormat/>
    <w:uiPriority w:val="0"/>
    <w:pPr>
      <w:spacing w:line="440" w:lineRule="exact"/>
      <w:jc w:val="center"/>
    </w:pPr>
    <w:rPr>
      <w:sz w:val="28"/>
    </w:rPr>
  </w:style>
  <w:style w:type="paragraph" w:customStyle="1" w:styleId="109">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0">
    <w:name w:val="标准文件_英文图表脚注"/>
    <w:basedOn w:val="57"/>
    <w:qFormat/>
    <w:uiPriority w:val="0"/>
    <w:pPr>
      <w:widowControl/>
      <w:adjustRightInd/>
      <w:snapToGrid/>
      <w:spacing w:line="240" w:lineRule="auto"/>
      <w:ind w:left="79" w:hanging="79" w:hangingChars="80"/>
    </w:pPr>
    <w:rPr>
      <w:rFonts w:ascii="宋体" w:hAnsi="宋体"/>
    </w:rPr>
  </w:style>
  <w:style w:type="paragraph" w:customStyle="1" w:styleId="111">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2">
    <w:name w:val="标准文件_英文注："/>
    <w:basedOn w:val="1"/>
    <w:next w:val="58"/>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3">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4">
    <w:name w:val="标准文件_正文表标题"/>
    <w:next w:val="58"/>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公式"/>
    <w:basedOn w:val="1"/>
    <w:next w:val="57"/>
    <w:qFormat/>
    <w:uiPriority w:val="0"/>
    <w:pPr>
      <w:tabs>
        <w:tab w:val="center" w:pos="4678"/>
        <w:tab w:val="right" w:leader="middleDot" w:pos="9356"/>
      </w:tabs>
      <w:spacing w:line="240" w:lineRule="auto"/>
    </w:pPr>
    <w:rPr>
      <w:rFonts w:ascii="宋体" w:hAnsi="宋体"/>
    </w:rPr>
  </w:style>
  <w:style w:type="paragraph" w:customStyle="1" w:styleId="116">
    <w:name w:val="标准文件_正文图标题"/>
    <w:next w:val="58"/>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7">
    <w:name w:val="标准文件_正文英文表标题"/>
    <w:next w:val="58"/>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8">
    <w:name w:val="标准文件_正文英文图标题"/>
    <w:next w:val="58"/>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9">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20">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1">
    <w:name w:val="发布部门"/>
    <w:next w:val="58"/>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2">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3">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4">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5">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6">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7">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8">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9">
    <w:name w:val="封面正文"/>
    <w:qFormat/>
    <w:uiPriority w:val="0"/>
    <w:pPr>
      <w:jc w:val="both"/>
    </w:pPr>
    <w:rPr>
      <w:rFonts w:ascii="Times New Roman" w:hAnsi="Times New Roman" w:eastAsia="宋体" w:cs="Times New Roman"/>
      <w:lang w:val="en-US" w:eastAsia="zh-CN" w:bidi="ar-SA"/>
    </w:rPr>
  </w:style>
  <w:style w:type="paragraph" w:customStyle="1" w:styleId="130">
    <w:name w:val="附录二级无标题条"/>
    <w:basedOn w:val="1"/>
    <w:next w:val="58"/>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1">
    <w:name w:val="附录三级无标题条"/>
    <w:basedOn w:val="130"/>
    <w:next w:val="58"/>
    <w:qFormat/>
    <w:uiPriority w:val="0"/>
    <w:pPr>
      <w:outlineLvl w:val="4"/>
    </w:pPr>
  </w:style>
  <w:style w:type="paragraph" w:customStyle="1" w:styleId="132">
    <w:name w:val="附录四级无标题条"/>
    <w:basedOn w:val="131"/>
    <w:next w:val="58"/>
    <w:qFormat/>
    <w:uiPriority w:val="0"/>
    <w:pPr>
      <w:outlineLvl w:val="5"/>
    </w:pPr>
  </w:style>
  <w:style w:type="paragraph" w:customStyle="1" w:styleId="133">
    <w:name w:val="附录图"/>
    <w:next w:val="58"/>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4">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5">
    <w:name w:val="附录五级无标题条"/>
    <w:basedOn w:val="132"/>
    <w:next w:val="58"/>
    <w:qFormat/>
    <w:uiPriority w:val="0"/>
    <w:pPr>
      <w:outlineLvl w:val="6"/>
    </w:pPr>
  </w:style>
  <w:style w:type="paragraph" w:customStyle="1" w:styleId="136">
    <w:name w:val="附录性质"/>
    <w:basedOn w:val="1"/>
    <w:qFormat/>
    <w:uiPriority w:val="0"/>
    <w:pPr>
      <w:widowControl/>
      <w:adjustRightInd/>
      <w:jc w:val="center"/>
    </w:pPr>
    <w:rPr>
      <w:rFonts w:ascii="黑体" w:eastAsia="黑体"/>
    </w:rPr>
  </w:style>
  <w:style w:type="paragraph" w:customStyle="1" w:styleId="137">
    <w:name w:val="附录一级无标题条"/>
    <w:basedOn w:val="89"/>
    <w:next w:val="58"/>
    <w:qFormat/>
    <w:uiPriority w:val="0"/>
    <w:pPr>
      <w:autoSpaceDN w:val="0"/>
      <w:outlineLvl w:val="2"/>
    </w:pPr>
    <w:rPr>
      <w:rFonts w:ascii="宋体" w:hAnsi="宋体" w:eastAsia="宋体"/>
    </w:rPr>
  </w:style>
  <w:style w:type="character" w:customStyle="1" w:styleId="138">
    <w:name w:val="个人答复风格"/>
    <w:qFormat/>
    <w:uiPriority w:val="0"/>
    <w:rPr>
      <w:rFonts w:ascii="Arial" w:hAnsi="Arial" w:eastAsia="宋体" w:cs="Arial"/>
      <w:color w:val="auto"/>
      <w:spacing w:val="0"/>
      <w:sz w:val="20"/>
    </w:rPr>
  </w:style>
  <w:style w:type="character" w:customStyle="1" w:styleId="139">
    <w:name w:val="个人撰写风格"/>
    <w:qFormat/>
    <w:uiPriority w:val="0"/>
    <w:rPr>
      <w:rFonts w:ascii="Arial" w:hAnsi="Arial" w:eastAsia="宋体" w:cs="Arial"/>
      <w:color w:val="auto"/>
      <w:spacing w:val="0"/>
      <w:sz w:val="20"/>
    </w:rPr>
  </w:style>
  <w:style w:type="paragraph" w:customStyle="1" w:styleId="140">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1">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2">
    <w:name w:val="列项·"/>
    <w:basedOn w:val="58"/>
    <w:qFormat/>
    <w:uiPriority w:val="0"/>
    <w:pPr>
      <w:tabs>
        <w:tab w:val="left" w:pos="840"/>
      </w:tabs>
    </w:pPr>
  </w:style>
  <w:style w:type="paragraph" w:customStyle="1" w:styleId="143">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4">
    <w:name w:val="目录 21"/>
    <w:basedOn w:val="1"/>
    <w:next w:val="1"/>
    <w:autoRedefine/>
    <w:semiHidden/>
    <w:qFormat/>
    <w:uiPriority w:val="0"/>
    <w:pPr>
      <w:adjustRightInd/>
      <w:spacing w:line="240" w:lineRule="auto"/>
      <w:jc w:val="left"/>
    </w:pPr>
    <w:rPr>
      <w:bCs/>
      <w:iCs/>
    </w:rPr>
  </w:style>
  <w:style w:type="paragraph" w:customStyle="1" w:styleId="145">
    <w:name w:val="目录 31"/>
    <w:basedOn w:val="1"/>
    <w:next w:val="1"/>
    <w:autoRedefine/>
    <w:semiHidden/>
    <w:qFormat/>
    <w:uiPriority w:val="0"/>
    <w:pPr>
      <w:spacing w:line="240" w:lineRule="auto"/>
    </w:pPr>
    <w:rPr>
      <w:rFonts w:ascii="宋体" w:hAnsi="宋体"/>
      <w:iCs/>
    </w:rPr>
  </w:style>
  <w:style w:type="paragraph" w:customStyle="1" w:styleId="146">
    <w:name w:val="目录 41"/>
    <w:basedOn w:val="1"/>
    <w:next w:val="1"/>
    <w:autoRedefine/>
    <w:semiHidden/>
    <w:qFormat/>
    <w:uiPriority w:val="0"/>
    <w:pPr>
      <w:adjustRightInd/>
      <w:spacing w:line="240" w:lineRule="auto"/>
      <w:jc w:val="left"/>
    </w:pPr>
  </w:style>
  <w:style w:type="paragraph" w:customStyle="1" w:styleId="147">
    <w:name w:val="目录 51"/>
    <w:basedOn w:val="1"/>
    <w:next w:val="1"/>
    <w:autoRedefine/>
    <w:semiHidden/>
    <w:qFormat/>
    <w:uiPriority w:val="0"/>
    <w:pPr>
      <w:spacing w:line="240" w:lineRule="auto"/>
    </w:pPr>
    <w:rPr>
      <w:rFonts w:ascii="宋体" w:hAnsi="宋体"/>
    </w:rPr>
  </w:style>
  <w:style w:type="paragraph" w:customStyle="1" w:styleId="148">
    <w:name w:val="目录 61"/>
    <w:basedOn w:val="1"/>
    <w:next w:val="1"/>
    <w:autoRedefine/>
    <w:semiHidden/>
    <w:qFormat/>
    <w:uiPriority w:val="0"/>
    <w:pPr>
      <w:adjustRightInd/>
      <w:spacing w:line="240" w:lineRule="auto"/>
      <w:jc w:val="left"/>
    </w:pPr>
  </w:style>
  <w:style w:type="paragraph" w:customStyle="1" w:styleId="149">
    <w:name w:val="目录 71"/>
    <w:basedOn w:val="148"/>
    <w:autoRedefine/>
    <w:semiHidden/>
    <w:qFormat/>
    <w:uiPriority w:val="0"/>
    <w:pPr>
      <w:ind w:left="1260"/>
    </w:pPr>
  </w:style>
  <w:style w:type="paragraph" w:customStyle="1" w:styleId="150">
    <w:name w:val="目录 81"/>
    <w:basedOn w:val="149"/>
    <w:autoRedefine/>
    <w:semiHidden/>
    <w:qFormat/>
    <w:uiPriority w:val="0"/>
    <w:pPr>
      <w:ind w:left="1470"/>
    </w:pPr>
  </w:style>
  <w:style w:type="paragraph" w:customStyle="1" w:styleId="151">
    <w:name w:val="目录 91"/>
    <w:basedOn w:val="150"/>
    <w:autoRedefine/>
    <w:semiHidden/>
    <w:qFormat/>
    <w:uiPriority w:val="0"/>
    <w:pPr>
      <w:ind w:left="1680"/>
    </w:pPr>
  </w:style>
  <w:style w:type="paragraph" w:customStyle="1" w:styleId="152">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3">
    <w:name w:val="其他发布部门"/>
    <w:basedOn w:val="121"/>
    <w:qFormat/>
    <w:uiPriority w:val="0"/>
    <w:pPr>
      <w:framePr w:wrap="around"/>
      <w:spacing w:line="0" w:lineRule="atLeast"/>
    </w:pPr>
    <w:rPr>
      <w:rFonts w:ascii="黑体" w:eastAsia="黑体"/>
      <w:b w:val="0"/>
    </w:rPr>
  </w:style>
  <w:style w:type="paragraph" w:customStyle="1" w:styleId="154">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5">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6">
    <w:name w:val="实施日期"/>
    <w:basedOn w:val="122"/>
    <w:qFormat/>
    <w:uiPriority w:val="0"/>
    <w:pPr>
      <w:framePr w:hSpace="0" w:wrap="around" w:xAlign="right"/>
      <w:jc w:val="right"/>
    </w:pPr>
  </w:style>
  <w:style w:type="paragraph" w:customStyle="1" w:styleId="157">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8">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9">
    <w:name w:val="无标题条"/>
    <w:next w:val="58"/>
    <w:qFormat/>
    <w:uiPriority w:val="0"/>
    <w:pPr>
      <w:jc w:val="both"/>
    </w:pPr>
    <w:rPr>
      <w:rFonts w:ascii="宋体" w:hAnsi="宋体" w:eastAsia="宋体" w:cs="Times New Roman"/>
      <w:sz w:val="21"/>
      <w:lang w:val="en-US" w:eastAsia="zh-CN" w:bidi="ar-SA"/>
    </w:rPr>
  </w:style>
  <w:style w:type="paragraph" w:customStyle="1" w:styleId="160">
    <w:name w:val="五级无标题条"/>
    <w:basedOn w:val="1"/>
    <w:qFormat/>
    <w:uiPriority w:val="0"/>
    <w:pPr>
      <w:numPr>
        <w:ilvl w:val="6"/>
        <w:numId w:val="20"/>
      </w:numPr>
      <w:adjustRightInd/>
    </w:pPr>
    <w:rPr>
      <w:szCs w:val="24"/>
    </w:rPr>
  </w:style>
  <w:style w:type="paragraph" w:customStyle="1" w:styleId="161">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2">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3">
    <w:name w:val="注×:后续"/>
    <w:basedOn w:val="162"/>
    <w:qFormat/>
    <w:uiPriority w:val="0"/>
    <w:pPr>
      <w:ind w:left="1406" w:leftChars="0" w:hanging="499" w:firstLineChars="0"/>
    </w:pPr>
  </w:style>
  <w:style w:type="paragraph" w:customStyle="1" w:styleId="164">
    <w:name w:val="标准文件_一级无标题"/>
    <w:basedOn w:val="107"/>
    <w:qFormat/>
    <w:uiPriority w:val="0"/>
    <w:pPr>
      <w:spacing w:before="0" w:beforeLines="0" w:after="0" w:afterLines="0"/>
      <w:outlineLvl w:val="9"/>
    </w:pPr>
    <w:rPr>
      <w:rFonts w:ascii="宋体" w:eastAsia="宋体"/>
    </w:rPr>
  </w:style>
  <w:style w:type="paragraph" w:customStyle="1" w:styleId="165">
    <w:name w:val="标准文件_五级无标题"/>
    <w:basedOn w:val="105"/>
    <w:qFormat/>
    <w:uiPriority w:val="0"/>
    <w:pPr>
      <w:spacing w:before="0" w:beforeLines="0" w:after="0" w:afterLines="0"/>
      <w:outlineLvl w:val="9"/>
    </w:pPr>
    <w:rPr>
      <w:rFonts w:ascii="宋体" w:eastAsia="宋体"/>
    </w:rPr>
  </w:style>
  <w:style w:type="paragraph" w:customStyle="1" w:styleId="166">
    <w:name w:val="标准文件_三级无标题"/>
    <w:basedOn w:val="96"/>
    <w:qFormat/>
    <w:uiPriority w:val="0"/>
    <w:pPr>
      <w:spacing w:before="0" w:beforeLines="0" w:after="0" w:afterLines="0"/>
      <w:outlineLvl w:val="9"/>
    </w:pPr>
    <w:rPr>
      <w:rFonts w:ascii="宋体" w:eastAsia="宋体"/>
    </w:rPr>
  </w:style>
  <w:style w:type="paragraph" w:customStyle="1" w:styleId="167">
    <w:name w:val="标准文件_二级无标题"/>
    <w:basedOn w:val="67"/>
    <w:qFormat/>
    <w:uiPriority w:val="0"/>
    <w:pPr>
      <w:spacing w:before="0" w:beforeLines="0" w:after="0" w:afterLines="0"/>
      <w:outlineLvl w:val="9"/>
    </w:pPr>
    <w:rPr>
      <w:rFonts w:ascii="宋体" w:eastAsia="宋体"/>
    </w:rPr>
  </w:style>
  <w:style w:type="paragraph" w:customStyle="1" w:styleId="168">
    <w:name w:val="标准_四级无标题"/>
    <w:basedOn w:val="100"/>
    <w:next w:val="58"/>
    <w:qFormat/>
    <w:uiPriority w:val="0"/>
    <w:rPr>
      <w:rFonts w:eastAsia="宋体"/>
    </w:rPr>
  </w:style>
  <w:style w:type="paragraph" w:customStyle="1" w:styleId="169">
    <w:name w:val="标准文件_四级无标题"/>
    <w:basedOn w:val="100"/>
    <w:qFormat/>
    <w:uiPriority w:val="0"/>
    <w:pPr>
      <w:spacing w:before="0" w:beforeLines="0" w:after="0" w:afterLines="0"/>
      <w:outlineLvl w:val="9"/>
    </w:pPr>
    <w:rPr>
      <w:rFonts w:ascii="宋体" w:hAnsi="黑体" w:eastAsia="宋体"/>
      <w:szCs w:val="52"/>
    </w:rPr>
  </w:style>
  <w:style w:type="paragraph" w:customStyle="1" w:styleId="170">
    <w:name w:val="标准文件_大写罗马数字编号列项"/>
    <w:basedOn w:val="58"/>
    <w:qFormat/>
    <w:uiPriority w:val="0"/>
    <w:pPr>
      <w:numPr>
        <w:ilvl w:val="0"/>
        <w:numId w:val="23"/>
      </w:numPr>
      <w:ind w:firstLine="0" w:firstLineChars="0"/>
    </w:pPr>
    <w:rPr>
      <w:rFonts w:cs="Arial"/>
      <w:szCs w:val="28"/>
    </w:rPr>
  </w:style>
  <w:style w:type="paragraph" w:customStyle="1" w:styleId="171">
    <w:name w:val="标准文件_小写罗马数字编号列项"/>
    <w:basedOn w:val="58"/>
    <w:qFormat/>
    <w:uiPriority w:val="0"/>
    <w:pPr>
      <w:numPr>
        <w:ilvl w:val="0"/>
        <w:numId w:val="24"/>
      </w:numPr>
      <w:ind w:firstLine="0" w:firstLineChars="0"/>
    </w:pPr>
    <w:rPr>
      <w:rFonts w:cs="Arial"/>
      <w:szCs w:val="28"/>
    </w:rPr>
  </w:style>
  <w:style w:type="paragraph" w:customStyle="1" w:styleId="172">
    <w:name w:val="标准文件_附录标题"/>
    <w:basedOn w:val="78"/>
    <w:qFormat/>
    <w:uiPriority w:val="0"/>
    <w:pPr>
      <w:numPr>
        <w:numId w:val="0"/>
      </w:numPr>
      <w:spacing w:after="280"/>
      <w:outlineLvl w:val="9"/>
    </w:pPr>
  </w:style>
  <w:style w:type="paragraph" w:customStyle="1" w:styleId="173">
    <w:name w:val="标准文件_二级项"/>
    <w:qFormat/>
    <w:uiPriority w:val="0"/>
    <w:rPr>
      <w:rFonts w:ascii="宋体" w:hAnsi="Times New Roman" w:eastAsia="宋体" w:cs="Times New Roman"/>
      <w:sz w:val="21"/>
      <w:lang w:val="en-US" w:eastAsia="zh-CN" w:bidi="ar-SA"/>
    </w:rPr>
  </w:style>
  <w:style w:type="paragraph" w:customStyle="1" w:styleId="174">
    <w:name w:val="标准文件_三级项"/>
    <w:basedOn w:val="1"/>
    <w:qFormat/>
    <w:uiPriority w:val="0"/>
    <w:pPr>
      <w:numPr>
        <w:ilvl w:val="2"/>
        <w:numId w:val="21"/>
      </w:numPr>
      <w:spacing w:line="536870612" w:lineRule="auto"/>
    </w:pPr>
    <w:rPr>
      <w:rFonts w:ascii="Times New Roman" w:hAnsi="Times New Roman"/>
    </w:rPr>
  </w:style>
  <w:style w:type="paragraph" w:customStyle="1" w:styleId="175">
    <w:name w:val="图表脚注说明"/>
    <w:basedOn w:val="1"/>
    <w:next w:val="58"/>
    <w:qFormat/>
    <w:uiPriority w:val="0"/>
    <w:pPr>
      <w:numPr>
        <w:ilvl w:val="0"/>
        <w:numId w:val="25"/>
      </w:numPr>
      <w:adjustRightInd/>
      <w:spacing w:line="240" w:lineRule="auto"/>
    </w:pPr>
    <w:rPr>
      <w:rFonts w:ascii="宋体" w:hAnsi="Times New Roman"/>
      <w:sz w:val="18"/>
      <w:szCs w:val="18"/>
    </w:rPr>
  </w:style>
  <w:style w:type="paragraph" w:customStyle="1" w:styleId="176">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7">
    <w:name w:val="标准文件_索引字母"/>
    <w:next w:val="58"/>
    <w:qFormat/>
    <w:uiPriority w:val="0"/>
    <w:pPr>
      <w:jc w:val="center"/>
    </w:pPr>
    <w:rPr>
      <w:rFonts w:ascii="宋体" w:hAnsi="宋体" w:eastAsia="Times New Roman" w:cs="Times New Roman"/>
      <w:b/>
      <w:kern w:val="2"/>
      <w:sz w:val="21"/>
      <w:lang w:val="en-US" w:eastAsia="zh-CN" w:bidi="ar-SA"/>
    </w:rPr>
  </w:style>
  <w:style w:type="paragraph" w:customStyle="1" w:styleId="178">
    <w:name w:val="标准文件_附录前"/>
    <w:next w:val="58"/>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9">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80">
    <w:name w:val="标准文件_表格"/>
    <w:basedOn w:val="58"/>
    <w:qFormat/>
    <w:uiPriority w:val="0"/>
    <w:pPr>
      <w:ind w:firstLine="0" w:firstLineChars="0"/>
      <w:jc w:val="center"/>
    </w:pPr>
    <w:rPr>
      <w:sz w:val="18"/>
    </w:rPr>
  </w:style>
  <w:style w:type="paragraph" w:customStyle="1" w:styleId="181">
    <w:name w:val="标准文件_注："/>
    <w:next w:val="58"/>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2">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3">
    <w:name w:val="标准文件_示例："/>
    <w:next w:val="184"/>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4">
    <w:name w:val="标准文件_示例内容"/>
    <w:basedOn w:val="58"/>
    <w:qFormat/>
    <w:uiPriority w:val="0"/>
    <w:pPr>
      <w:ind w:firstLine="420"/>
    </w:pPr>
    <w:rPr>
      <w:sz w:val="18"/>
    </w:rPr>
  </w:style>
  <w:style w:type="paragraph" w:customStyle="1" w:styleId="185">
    <w:name w:val="标准文件_示例×："/>
    <w:basedOn w:val="1"/>
    <w:next w:val="184"/>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6">
    <w:name w:val="标准文件_段 Char"/>
    <w:link w:val="58"/>
    <w:qFormat/>
    <w:uiPriority w:val="0"/>
    <w:rPr>
      <w:rFonts w:ascii="Times New Roman" w:hAnsi="Times New Roman"/>
      <w:sz w:val="21"/>
    </w:rPr>
  </w:style>
  <w:style w:type="paragraph" w:customStyle="1" w:styleId="187">
    <w:name w:val="标准文件_表格续"/>
    <w:basedOn w:val="58"/>
    <w:next w:val="58"/>
    <w:qFormat/>
    <w:uiPriority w:val="0"/>
    <w:pPr>
      <w:jc w:val="center"/>
    </w:pPr>
    <w:rPr>
      <w:rFonts w:ascii="黑体" w:hAnsi="黑体" w:eastAsia="黑体"/>
    </w:rPr>
  </w:style>
  <w:style w:type="character" w:styleId="188">
    <w:name w:val="Placeholder Text"/>
    <w:basedOn w:val="30"/>
    <w:semiHidden/>
    <w:qFormat/>
    <w:uiPriority w:val="99"/>
    <w:rPr>
      <w:color w:val="808080"/>
    </w:rPr>
  </w:style>
  <w:style w:type="paragraph" w:customStyle="1" w:styleId="189">
    <w:name w:val="标准文件_二级项2"/>
    <w:basedOn w:val="58"/>
    <w:qFormat/>
    <w:uiPriority w:val="0"/>
    <w:pPr>
      <w:numPr>
        <w:ilvl w:val="1"/>
        <w:numId w:val="21"/>
      </w:numPr>
      <w:ind w:firstLine="0" w:firstLineChars="0"/>
    </w:pPr>
  </w:style>
  <w:style w:type="paragraph" w:customStyle="1" w:styleId="190">
    <w:name w:val="标准文件_三级项2"/>
    <w:basedOn w:val="58"/>
    <w:qFormat/>
    <w:uiPriority w:val="0"/>
    <w:pPr>
      <w:numPr>
        <w:ilvl w:val="0"/>
        <w:numId w:val="30"/>
      </w:numPr>
      <w:spacing w:line="300" w:lineRule="exact"/>
      <w:ind w:firstLineChars="0"/>
    </w:pPr>
  </w:style>
  <w:style w:type="paragraph" w:customStyle="1" w:styleId="191">
    <w:name w:val="标准文件_一级项2"/>
    <w:basedOn w:val="58"/>
    <w:qFormat/>
    <w:uiPriority w:val="0"/>
    <w:pPr>
      <w:numPr>
        <w:ilvl w:val="0"/>
        <w:numId w:val="31"/>
      </w:numPr>
      <w:spacing w:line="300" w:lineRule="exact"/>
      <w:ind w:firstLineChars="0"/>
    </w:pPr>
  </w:style>
  <w:style w:type="paragraph" w:customStyle="1" w:styleId="192">
    <w:name w:val="标准文件_提示"/>
    <w:basedOn w:val="58"/>
    <w:next w:val="58"/>
    <w:qFormat/>
    <w:uiPriority w:val="0"/>
    <w:pPr>
      <w:ind w:firstLine="420"/>
    </w:pPr>
    <w:rPr>
      <w:rFonts w:ascii="黑体" w:eastAsia="黑体"/>
    </w:rPr>
  </w:style>
  <w:style w:type="character" w:customStyle="1" w:styleId="193">
    <w:name w:val="标准文件_来源"/>
    <w:basedOn w:val="30"/>
    <w:qFormat/>
    <w:uiPriority w:val="1"/>
    <w:rPr>
      <w:rFonts w:eastAsia="宋体"/>
      <w:sz w:val="21"/>
    </w:rPr>
  </w:style>
  <w:style w:type="paragraph" w:customStyle="1" w:styleId="194">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5">
    <w:name w:val="其他发布日期"/>
    <w:basedOn w:val="122"/>
    <w:qFormat/>
    <w:uiPriority w:val="0"/>
    <w:pPr>
      <w:framePr w:w="3997" w:h="471" w:hRule="exact" w:hSpace="0" w:vSpace="181" w:wrap="around" w:vAnchor="page" w:hAnchor="page" w:x="1419" w:y="14097"/>
    </w:pPr>
  </w:style>
  <w:style w:type="paragraph" w:customStyle="1" w:styleId="196">
    <w:name w:val="其他实施日期"/>
    <w:basedOn w:val="156"/>
    <w:qFormat/>
    <w:uiPriority w:val="0"/>
    <w:pPr>
      <w:framePr w:w="3997" w:h="471" w:hRule="exact" w:vSpace="181" w:wrap="around" w:vAnchor="page" w:hAnchor="page" w:x="7089" w:y="14097"/>
    </w:pPr>
  </w:style>
  <w:style w:type="paragraph" w:customStyle="1" w:styleId="197">
    <w:name w:val="标准文件_文件编号"/>
    <w:basedOn w:val="58"/>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8">
    <w:name w:val="标准文件_替换文件编号"/>
    <w:basedOn w:val="197"/>
    <w:qFormat/>
    <w:uiPriority w:val="0"/>
    <w:pPr>
      <w:spacing w:before="57"/>
    </w:pPr>
    <w:rPr>
      <w:sz w:val="21"/>
    </w:rPr>
  </w:style>
  <w:style w:type="paragraph" w:customStyle="1" w:styleId="199">
    <w:name w:val="标准文件_文件名称"/>
    <w:basedOn w:val="58"/>
    <w:next w:val="58"/>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200">
    <w:name w:val="标准文件_附录图标号"/>
    <w:basedOn w:val="58"/>
    <w:next w:val="58"/>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1">
    <w:name w:val="标准文件_附录表标号"/>
    <w:basedOn w:val="58"/>
    <w:next w:val="58"/>
    <w:qFormat/>
    <w:uiPriority w:val="0"/>
    <w:pPr>
      <w:numPr>
        <w:ilvl w:val="0"/>
        <w:numId w:val="5"/>
      </w:numPr>
      <w:spacing w:line="14" w:lineRule="exact"/>
      <w:ind w:firstLine="0" w:firstLineChars="0"/>
      <w:jc w:val="center"/>
    </w:pPr>
    <w:rPr>
      <w:rFonts w:eastAsia="黑体"/>
      <w:vanish/>
      <w:sz w:val="2"/>
    </w:rPr>
  </w:style>
  <w:style w:type="paragraph" w:customStyle="1" w:styleId="202">
    <w:name w:val="标准文件_引言一级条标题"/>
    <w:basedOn w:val="58"/>
    <w:next w:val="58"/>
    <w:qFormat/>
    <w:uiPriority w:val="0"/>
    <w:pPr>
      <w:numPr>
        <w:ilvl w:val="1"/>
        <w:numId w:val="8"/>
      </w:numPr>
      <w:spacing w:before="50" w:beforeLines="50" w:after="50" w:afterLines="50"/>
      <w:ind w:firstLineChars="0"/>
    </w:pPr>
    <w:rPr>
      <w:rFonts w:ascii="黑体" w:eastAsia="黑体"/>
    </w:rPr>
  </w:style>
  <w:style w:type="paragraph" w:customStyle="1" w:styleId="203">
    <w:name w:val="标准文件_引言二级条标题"/>
    <w:basedOn w:val="58"/>
    <w:next w:val="58"/>
    <w:qFormat/>
    <w:uiPriority w:val="0"/>
    <w:pPr>
      <w:numPr>
        <w:ilvl w:val="2"/>
        <w:numId w:val="8"/>
      </w:numPr>
      <w:spacing w:before="50" w:beforeLines="50" w:after="50" w:afterLines="50"/>
      <w:ind w:firstLineChars="0"/>
    </w:pPr>
    <w:rPr>
      <w:rFonts w:ascii="黑体" w:eastAsia="黑体"/>
    </w:rPr>
  </w:style>
  <w:style w:type="paragraph" w:customStyle="1" w:styleId="204">
    <w:name w:val="标准文件_引言三级条标题"/>
    <w:basedOn w:val="58"/>
    <w:next w:val="58"/>
    <w:qFormat/>
    <w:uiPriority w:val="0"/>
    <w:pPr>
      <w:numPr>
        <w:ilvl w:val="3"/>
        <w:numId w:val="8"/>
      </w:numPr>
      <w:spacing w:before="50" w:beforeLines="50" w:after="50" w:afterLines="50"/>
      <w:ind w:firstLineChars="0"/>
    </w:pPr>
    <w:rPr>
      <w:rFonts w:ascii="黑体" w:eastAsia="黑体"/>
    </w:rPr>
  </w:style>
  <w:style w:type="paragraph" w:customStyle="1" w:styleId="205">
    <w:name w:val="标准文件_引言四级条标题"/>
    <w:basedOn w:val="58"/>
    <w:next w:val="58"/>
    <w:qFormat/>
    <w:uiPriority w:val="0"/>
    <w:pPr>
      <w:numPr>
        <w:ilvl w:val="4"/>
        <w:numId w:val="8"/>
      </w:numPr>
      <w:spacing w:before="50" w:beforeLines="50" w:after="50" w:afterLines="50"/>
      <w:ind w:firstLineChars="0"/>
    </w:pPr>
    <w:rPr>
      <w:rFonts w:ascii="黑体" w:eastAsia="黑体"/>
    </w:rPr>
  </w:style>
  <w:style w:type="paragraph" w:customStyle="1" w:styleId="206">
    <w:name w:val="标准文件_引言五级条标题"/>
    <w:basedOn w:val="58"/>
    <w:next w:val="58"/>
    <w:qFormat/>
    <w:uiPriority w:val="0"/>
    <w:pPr>
      <w:numPr>
        <w:ilvl w:val="5"/>
        <w:numId w:val="8"/>
      </w:numPr>
      <w:spacing w:before="50" w:beforeLines="50" w:after="50" w:afterLines="50"/>
      <w:ind w:firstLineChars="0"/>
    </w:pPr>
    <w:rPr>
      <w:rFonts w:ascii="黑体" w:eastAsia="黑体"/>
    </w:rPr>
  </w:style>
  <w:style w:type="paragraph" w:customStyle="1" w:styleId="207">
    <w:name w:val="标准文件_注后"/>
    <w:basedOn w:val="58"/>
    <w:qFormat/>
    <w:uiPriority w:val="0"/>
    <w:pPr>
      <w:ind w:left="811" w:firstLine="0" w:firstLineChars="0"/>
    </w:pPr>
    <w:rPr>
      <w:sz w:val="18"/>
    </w:rPr>
  </w:style>
  <w:style w:type="paragraph" w:customStyle="1" w:styleId="208">
    <w:name w:val="标准文件_注X后"/>
    <w:basedOn w:val="58"/>
    <w:qFormat/>
    <w:uiPriority w:val="0"/>
    <w:pPr>
      <w:ind w:left="811" w:firstLine="0" w:firstLineChars="0"/>
    </w:pPr>
    <w:rPr>
      <w:sz w:val="18"/>
    </w:rPr>
  </w:style>
  <w:style w:type="paragraph" w:customStyle="1" w:styleId="209">
    <w:name w:val="标准文件_示例后"/>
    <w:basedOn w:val="58"/>
    <w:qFormat/>
    <w:uiPriority w:val="0"/>
    <w:pPr>
      <w:ind w:left="964" w:firstLine="0" w:firstLineChars="0"/>
    </w:pPr>
    <w:rPr>
      <w:sz w:val="18"/>
    </w:rPr>
  </w:style>
  <w:style w:type="paragraph" w:customStyle="1" w:styleId="210">
    <w:name w:val="标准文件_示例X后"/>
    <w:basedOn w:val="58"/>
    <w:link w:val="211"/>
    <w:qFormat/>
    <w:uiPriority w:val="0"/>
    <w:pPr>
      <w:ind w:left="1049" w:firstLine="0" w:firstLineChars="0"/>
    </w:pPr>
    <w:rPr>
      <w:sz w:val="18"/>
    </w:rPr>
  </w:style>
  <w:style w:type="character" w:customStyle="1" w:styleId="211">
    <w:name w:val="标准文件_示例X后 字符"/>
    <w:basedOn w:val="186"/>
    <w:link w:val="210"/>
    <w:qFormat/>
    <w:uiPriority w:val="0"/>
    <w:rPr>
      <w:rFonts w:ascii="宋体" w:hAnsi="Times New Roman"/>
      <w:sz w:val="18"/>
    </w:rPr>
  </w:style>
  <w:style w:type="paragraph" w:customStyle="1" w:styleId="212">
    <w:name w:val="标准文件_索引项"/>
    <w:basedOn w:val="58"/>
    <w:next w:val="58"/>
    <w:qFormat/>
    <w:uiPriority w:val="0"/>
    <w:pPr>
      <w:tabs>
        <w:tab w:val="right" w:leader="dot" w:pos="9356"/>
      </w:tabs>
      <w:ind w:left="210" w:hanging="210" w:firstLineChars="0"/>
      <w:jc w:val="left"/>
    </w:pPr>
  </w:style>
  <w:style w:type="paragraph" w:customStyle="1" w:styleId="213">
    <w:name w:val="标准文件_附录一级无标题"/>
    <w:basedOn w:val="80"/>
    <w:qFormat/>
    <w:uiPriority w:val="0"/>
    <w:pPr>
      <w:spacing w:before="0" w:beforeLines="0" w:after="0" w:afterLines="0" w:line="276" w:lineRule="auto"/>
      <w:outlineLvl w:val="9"/>
    </w:pPr>
    <w:rPr>
      <w:rFonts w:ascii="宋体" w:eastAsia="宋体"/>
    </w:rPr>
  </w:style>
  <w:style w:type="paragraph" w:customStyle="1" w:styleId="214">
    <w:name w:val="标准文件_附录二级无标题"/>
    <w:basedOn w:val="81"/>
    <w:qFormat/>
    <w:uiPriority w:val="0"/>
    <w:pPr>
      <w:spacing w:before="0" w:beforeLines="0" w:after="0" w:afterLines="0" w:line="276" w:lineRule="auto"/>
      <w:outlineLvl w:val="9"/>
    </w:pPr>
    <w:rPr>
      <w:rFonts w:ascii="宋体" w:eastAsia="宋体"/>
    </w:rPr>
  </w:style>
  <w:style w:type="paragraph" w:customStyle="1" w:styleId="215">
    <w:name w:val="标准文件_附录三级无标题"/>
    <w:basedOn w:val="83"/>
    <w:qFormat/>
    <w:uiPriority w:val="0"/>
    <w:pPr>
      <w:spacing w:before="0" w:beforeLines="0" w:after="0" w:afterLines="0" w:line="276" w:lineRule="auto"/>
      <w:outlineLvl w:val="9"/>
    </w:pPr>
    <w:rPr>
      <w:rFonts w:ascii="宋体" w:eastAsia="宋体"/>
    </w:rPr>
  </w:style>
  <w:style w:type="paragraph" w:customStyle="1" w:styleId="216">
    <w:name w:val="标准文件_附录四级无标题"/>
    <w:basedOn w:val="84"/>
    <w:qFormat/>
    <w:uiPriority w:val="0"/>
    <w:pPr>
      <w:spacing w:before="0" w:beforeLines="0" w:after="0" w:afterLines="0" w:line="276" w:lineRule="auto"/>
      <w:outlineLvl w:val="9"/>
    </w:pPr>
    <w:rPr>
      <w:rFonts w:ascii="宋体" w:eastAsia="宋体"/>
    </w:rPr>
  </w:style>
  <w:style w:type="paragraph" w:customStyle="1" w:styleId="217">
    <w:name w:val="标准文件_附录五级无标题"/>
    <w:basedOn w:val="86"/>
    <w:qFormat/>
    <w:uiPriority w:val="0"/>
    <w:pPr>
      <w:spacing w:before="0" w:beforeLines="0" w:after="0" w:afterLines="0" w:line="276" w:lineRule="auto"/>
      <w:outlineLvl w:val="9"/>
    </w:pPr>
    <w:rPr>
      <w:rFonts w:ascii="宋体" w:eastAsia="宋体"/>
    </w:rPr>
  </w:style>
  <w:style w:type="paragraph" w:customStyle="1" w:styleId="218">
    <w:name w:val="标准文件_引言一级无标题"/>
    <w:basedOn w:val="202"/>
    <w:next w:val="58"/>
    <w:qFormat/>
    <w:uiPriority w:val="0"/>
    <w:pPr>
      <w:spacing w:before="0" w:beforeLines="0" w:after="0" w:afterLines="0" w:line="276" w:lineRule="auto"/>
    </w:pPr>
    <w:rPr>
      <w:rFonts w:ascii="宋体" w:eastAsia="宋体"/>
    </w:rPr>
  </w:style>
  <w:style w:type="paragraph" w:customStyle="1" w:styleId="219">
    <w:name w:val="标准文件_引言二级无标题"/>
    <w:basedOn w:val="203"/>
    <w:next w:val="58"/>
    <w:qFormat/>
    <w:uiPriority w:val="0"/>
    <w:pPr>
      <w:spacing w:before="0" w:beforeLines="0" w:after="0" w:afterLines="0" w:line="276" w:lineRule="auto"/>
    </w:pPr>
    <w:rPr>
      <w:rFonts w:ascii="宋体" w:eastAsia="宋体"/>
    </w:rPr>
  </w:style>
  <w:style w:type="paragraph" w:customStyle="1" w:styleId="220">
    <w:name w:val="标准文件_引言三级无标题"/>
    <w:basedOn w:val="204"/>
    <w:qFormat/>
    <w:uiPriority w:val="0"/>
    <w:pPr>
      <w:spacing w:before="0" w:beforeLines="0" w:after="0" w:afterLines="0" w:line="276" w:lineRule="auto"/>
    </w:pPr>
    <w:rPr>
      <w:rFonts w:ascii="宋体" w:eastAsia="宋体"/>
    </w:rPr>
  </w:style>
  <w:style w:type="paragraph" w:customStyle="1" w:styleId="221">
    <w:name w:val="标准文件_引言四级无标题"/>
    <w:basedOn w:val="205"/>
    <w:next w:val="58"/>
    <w:qFormat/>
    <w:uiPriority w:val="0"/>
    <w:pPr>
      <w:spacing w:before="0" w:beforeLines="0" w:after="0" w:afterLines="0" w:line="276" w:lineRule="auto"/>
    </w:pPr>
    <w:rPr>
      <w:rFonts w:ascii="宋体" w:eastAsia="宋体"/>
    </w:rPr>
  </w:style>
  <w:style w:type="paragraph" w:customStyle="1" w:styleId="222">
    <w:name w:val="标准文件_引言五级无标题"/>
    <w:basedOn w:val="206"/>
    <w:next w:val="58"/>
    <w:qFormat/>
    <w:uiPriority w:val="0"/>
    <w:pPr>
      <w:spacing w:before="0" w:beforeLines="0" w:after="0" w:afterLines="0" w:line="276" w:lineRule="auto"/>
    </w:pPr>
    <w:rPr>
      <w:rFonts w:ascii="宋体" w:eastAsia="宋体"/>
    </w:rPr>
  </w:style>
  <w:style w:type="paragraph" w:customStyle="1" w:styleId="223">
    <w:name w:val="标准文件_索引标题"/>
    <w:basedOn w:val="65"/>
    <w:next w:val="58"/>
    <w:qFormat/>
    <w:uiPriority w:val="0"/>
    <w:rPr>
      <w:rFonts w:hAnsi="黑体"/>
    </w:rPr>
  </w:style>
  <w:style w:type="paragraph" w:customStyle="1" w:styleId="224">
    <w:name w:val="标准文件_脚注内容"/>
    <w:basedOn w:val="58"/>
    <w:qFormat/>
    <w:uiPriority w:val="0"/>
    <w:pPr>
      <w:ind w:left="400" w:leftChars="200" w:hanging="200" w:hangingChars="200"/>
    </w:pPr>
    <w:rPr>
      <w:sz w:val="15"/>
    </w:rPr>
  </w:style>
  <w:style w:type="paragraph" w:customStyle="1" w:styleId="225">
    <w:name w:val="标准文件_术语条一"/>
    <w:basedOn w:val="164"/>
    <w:next w:val="58"/>
    <w:qFormat/>
    <w:uiPriority w:val="0"/>
  </w:style>
  <w:style w:type="paragraph" w:customStyle="1" w:styleId="226">
    <w:name w:val="标准文件_术语条二"/>
    <w:basedOn w:val="167"/>
    <w:next w:val="58"/>
    <w:qFormat/>
    <w:uiPriority w:val="0"/>
  </w:style>
  <w:style w:type="paragraph" w:customStyle="1" w:styleId="227">
    <w:name w:val="标准文件_术语条三"/>
    <w:basedOn w:val="166"/>
    <w:next w:val="58"/>
    <w:qFormat/>
    <w:uiPriority w:val="0"/>
  </w:style>
  <w:style w:type="paragraph" w:customStyle="1" w:styleId="228">
    <w:name w:val="标准文件_术语条四"/>
    <w:basedOn w:val="169"/>
    <w:next w:val="58"/>
    <w:qFormat/>
    <w:uiPriority w:val="0"/>
  </w:style>
  <w:style w:type="paragraph" w:customStyle="1" w:styleId="229">
    <w:name w:val="标准文件_术语条五"/>
    <w:basedOn w:val="165"/>
    <w:next w:val="58"/>
    <w:qFormat/>
    <w:uiPriority w:val="0"/>
  </w:style>
  <w:style w:type="paragraph" w:customStyle="1" w:styleId="230">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1">
    <w:name w:val="发布"/>
    <w:basedOn w:val="30"/>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glossaryDocument" Target="glossary/document.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B3BEDB4F2724F9D81F4444A5CCE266D"/>
        <w:style w:val=""/>
        <w:category>
          <w:name w:val="常规"/>
          <w:gallery w:val="placeholder"/>
        </w:category>
        <w:types>
          <w:type w:val="bbPlcHdr"/>
        </w:types>
        <w:behaviors>
          <w:behavior w:val="content"/>
        </w:behaviors>
        <w:description w:val=""/>
        <w:guid w:val="{9A791DFB-56F6-4B85-997E-8EF3CEE1C2DA}"/>
      </w:docPartPr>
      <w:docPartBody>
        <w:p w14:paraId="5BE8502D">
          <w:pPr>
            <w:pStyle w:val="5"/>
          </w:pPr>
          <w:r>
            <w:rPr>
              <w:rStyle w:val="4"/>
              <w:rFonts w:hint="eastAsia"/>
            </w:rPr>
            <w:t>单击或点击此处输入文字。</w:t>
          </w:r>
        </w:p>
      </w:docPartBody>
    </w:docPart>
    <w:docPart>
      <w:docPartPr>
        <w:name w:val="78956B8278AF41489B4C226600D2E8C4"/>
        <w:style w:val=""/>
        <w:category>
          <w:name w:val="常规"/>
          <w:gallery w:val="placeholder"/>
        </w:category>
        <w:types>
          <w:type w:val="bbPlcHdr"/>
        </w:types>
        <w:behaviors>
          <w:behavior w:val="content"/>
        </w:behaviors>
        <w:description w:val=""/>
        <w:guid w:val="{35D7B9DB-82B3-43EC-9478-2F4253E62990}"/>
      </w:docPartPr>
      <w:docPartBody>
        <w:p w14:paraId="5C2222FA">
          <w:pPr>
            <w:pStyle w:val="6"/>
          </w:pPr>
          <w:r>
            <w:rPr>
              <w:rStyle w:val="4"/>
              <w:rFonts w:hint="eastAsia"/>
            </w:rPr>
            <w:t>选择一项。</w:t>
          </w:r>
        </w:p>
      </w:docPartBody>
    </w:docPart>
    <w:docPart>
      <w:docPartPr>
        <w:name w:val="DD487E154D8B46B1811108614A11313A"/>
        <w:style w:val=""/>
        <w:category>
          <w:name w:val="常规"/>
          <w:gallery w:val="placeholder"/>
        </w:category>
        <w:types>
          <w:type w:val="bbPlcHdr"/>
        </w:types>
        <w:behaviors>
          <w:behavior w:val="content"/>
        </w:behaviors>
        <w:description w:val=""/>
        <w:guid w:val="{BDA84726-025B-4CC9-AFA0-B8C5A34685AA}"/>
      </w:docPartPr>
      <w:docPartBody>
        <w:p w14:paraId="7DB56E20">
          <w:pPr>
            <w:pStyle w:val="7"/>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70EA"/>
    <w:rsid w:val="005D70EA"/>
    <w:rsid w:val="006E28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B3BEDB4F2724F9D81F4444A5CCE26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78956B8278AF41489B4C226600D2E8C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DD487E154D8B46B1811108614A11313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团体标准.dotx</Template>
  <Pages>11</Pages>
  <Words>3508</Words>
  <Characters>3997</Characters>
  <Lines>4</Lines>
  <Paragraphs>1</Paragraphs>
  <TotalTime>0</TotalTime>
  <ScaleCrop>false</ScaleCrop>
  <LinksUpToDate>false</LinksUpToDate>
  <CharactersWithSpaces>4133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2026-07-20T02:32:00Z</dcterms:created>
  <dc:creator>勋</dc:creator>
  <cp:lastModifiedBy>郑泽锋</cp:lastModifiedBy>
  <dcterms:modified xsi:type="dcterms:W3CDTF">2026-09-03T02:46:26Z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ICV">
    <vt:lpwstr>D8718866177D4440B6E9C23A9FA04545_13</vt:lpwstr>
  </property>
  <property fmtid="{D5CDD505-2E9C-101B-9397-08002B2CF9AE}" pid="15" name="KSOTemplateDocerSaveRecord">
    <vt:lpwstr>eyJoZGlkIjoiNTdiMzU4M2E3ZDRjNWRlNWJmZWNhODYyOGVlZjg0ODciLCJ1c2VySWQiOiIyOTk0NTMxOTkifQ==</vt:lpwstr>
  </property>
  <property fmtid="{D5CDD505-2E9C-101B-9397-08002B2CF9AE}" pid="16" name="KSOProductBuildVer">
    <vt:lpwstr>2052-12.1.0.28043</vt:lpwstr>
  </property>
</Properties>
</file>